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jc w:val="center"/>
      </w:pPr>
      <w:r>
        <w:rPr>
          <w:rFonts w:ascii="Aptos Display" w:hAnsi="Aptos Display"/>
          <w:b/>
          <w:color w:val="071A52"/>
          <w:sz w:val="56"/>
        </w:rPr>
        <w:t>NUVRA</w:t>
      </w:r>
    </w:p>
    <w:p>
      <w:pPr>
        <w:jc w:val="center"/>
      </w:pPr>
      <w:r>
        <w:rPr>
          <w:b/>
          <w:color w:val="071A52"/>
          <w:sz w:val="42"/>
        </w:rPr>
        <w:t>POLÍTICA INTERNA DE COMPLIANCE, PLD/FTP, KYC/KYB E MONITORAMENTO</w:t>
      </w:r>
    </w:p>
    <w:p>
      <w:pPr>
        <w:jc w:val="center"/>
      </w:pPr>
      <w:r>
        <w:rPr>
          <w:color w:val="5B6474"/>
          <w:sz w:val="21"/>
        </w:rPr>
        <w:t>Prevenção à lavagem de dinheiro, financiamento do terrorismo e da proliferação, integridade, conhecimento de clientes e parceiros, monitoramento transacional e controles de ativos virtuais.</w:t>
      </w:r>
    </w:p>
    <w:p>
      <w:pPr>
        <w:jc w:val="center"/>
      </w:pPr>
      <w:r>
        <w:rPr>
          <w:color w:val="11B981"/>
          <w:sz w:val="16"/>
        </w:rPr>
        <w:t>━━━━━━━━━━━━━━━━━━━━━━━━━━━━━━━━━━━━━━━━</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835"/>
            <w:shd w:fill="071A52"/>
            <w:tcMar>
              <w:top w:w="90" w:type="dxa"/>
              <w:start w:w="90" w:type="dxa"/>
              <w:bottom w:w="90" w:type="dxa"/>
              <w:end w:w="90" w:type="dxa"/>
            </w:tcMar>
            <w:vAlign w:val="center"/>
          </w:tcPr>
          <w:p>
            <w:pPr>
              <w:jc w:val="left"/>
            </w:pPr>
            <w:r/>
            <w:r>
              <w:rPr>
                <w:b/>
                <w:color w:val="FFFFFF"/>
                <w:sz w:val="17"/>
              </w:rPr>
              <w:t>Campo</w:t>
            </w:r>
          </w:p>
        </w:tc>
        <w:tc>
          <w:tcPr>
            <w:tcW w:type="dxa" w:w="6236"/>
            <w:shd w:fill="071A52"/>
            <w:tcMar>
              <w:top w:w="90" w:type="dxa"/>
              <w:start w:w="90" w:type="dxa"/>
              <w:bottom w:w="90" w:type="dxa"/>
              <w:end w:w="90" w:type="dxa"/>
            </w:tcMar>
            <w:vAlign w:val="center"/>
          </w:tcPr>
          <w:p>
            <w:pPr>
              <w:jc w:val="left"/>
            </w:pPr>
            <w:r/>
            <w:r>
              <w:rPr>
                <w:b/>
                <w:color w:val="FFFFFF"/>
                <w:sz w:val="17"/>
              </w:rPr>
              <w:t>Informação</w:t>
            </w:r>
          </w:p>
        </w:tc>
      </w:tr>
      <w:tr>
        <w:trPr>
          <w:cantSplit/>
        </w:trPr>
        <w:tc>
          <w:tcPr>
            <w:tcW w:type="dxa" w:w="2835"/>
            <w:tcMar>
              <w:top w:w="70" w:type="dxa"/>
              <w:start w:w="80" w:type="dxa"/>
              <w:bottom w:w="70" w:type="dxa"/>
              <w:end w:w="80" w:type="dxa"/>
            </w:tcMar>
            <w:vAlign w:val="top"/>
          </w:tcPr>
          <w:p>
            <w:r>
              <w:rPr>
                <w:color w:val="1C2434"/>
                <w:sz w:val="17"/>
              </w:rPr>
              <w:t>Marca</w:t>
            </w:r>
          </w:p>
        </w:tc>
        <w:tc>
          <w:tcPr>
            <w:tcW w:type="dxa" w:w="6236"/>
            <w:tcMar>
              <w:top w:w="70" w:type="dxa"/>
              <w:start w:w="80" w:type="dxa"/>
              <w:bottom w:w="70" w:type="dxa"/>
              <w:end w:w="80" w:type="dxa"/>
            </w:tcMar>
            <w:vAlign w:val="top"/>
          </w:tcPr>
          <w:p>
            <w:r>
              <w:rPr>
                <w:color w:val="1C2434"/>
                <w:sz w:val="17"/>
              </w:rPr>
              <w:t>NUVRA</w:t>
            </w:r>
          </w:p>
        </w:tc>
      </w:tr>
      <w:tr>
        <w:trPr>
          <w:cantSplit/>
        </w:trPr>
        <w:tc>
          <w:tcPr>
            <w:tcW w:type="dxa" w:w="2835"/>
            <w:tcMar>
              <w:top w:w="70" w:type="dxa"/>
              <w:start w:w="80" w:type="dxa"/>
              <w:bottom w:w="70" w:type="dxa"/>
              <w:end w:w="80" w:type="dxa"/>
            </w:tcMar>
            <w:shd w:fill="F8FAFD"/>
            <w:vAlign w:val="top"/>
          </w:tcPr>
          <w:p>
            <w:r>
              <w:rPr>
                <w:color w:val="1C2434"/>
                <w:sz w:val="17"/>
              </w:rPr>
              <w:t>Razão social</w:t>
            </w:r>
          </w:p>
        </w:tc>
        <w:tc>
          <w:tcPr>
            <w:tcW w:type="dxa" w:w="6236"/>
            <w:tcMar>
              <w:top w:w="70" w:type="dxa"/>
              <w:start w:w="80" w:type="dxa"/>
              <w:bottom w:w="70" w:type="dxa"/>
              <w:end w:w="80" w:type="dxa"/>
            </w:tcMar>
            <w:shd w:fill="F8FAFD"/>
            <w:vAlign w:val="top"/>
          </w:tcPr>
          <w:p>
            <w:r>
              <w:rPr>
                <w:color w:val="1C2434"/>
                <w:sz w:val="17"/>
              </w:rPr>
              <w:t>ZENDPAG SERVIÇOS FINANCEIROS LTDA</w:t>
            </w:r>
          </w:p>
        </w:tc>
      </w:tr>
      <w:tr>
        <w:trPr>
          <w:cantSplit/>
        </w:trPr>
        <w:tc>
          <w:tcPr>
            <w:tcW w:type="dxa" w:w="2835"/>
            <w:tcMar>
              <w:top w:w="70" w:type="dxa"/>
              <w:start w:w="80" w:type="dxa"/>
              <w:bottom w:w="70" w:type="dxa"/>
              <w:end w:w="80" w:type="dxa"/>
            </w:tcMar>
            <w:vAlign w:val="top"/>
          </w:tcPr>
          <w:p>
            <w:r>
              <w:rPr>
                <w:color w:val="1C2434"/>
                <w:sz w:val="17"/>
              </w:rPr>
              <w:t>CNPJ</w:t>
            </w:r>
          </w:p>
        </w:tc>
        <w:tc>
          <w:tcPr>
            <w:tcW w:type="dxa" w:w="6236"/>
            <w:tcMar>
              <w:top w:w="70" w:type="dxa"/>
              <w:start w:w="80" w:type="dxa"/>
              <w:bottom w:w="70" w:type="dxa"/>
              <w:end w:w="80" w:type="dxa"/>
            </w:tcMar>
            <w:vAlign w:val="top"/>
          </w:tcPr>
          <w:p>
            <w:r>
              <w:rPr>
                <w:color w:val="1C2434"/>
                <w:sz w:val="17"/>
              </w:rPr>
              <w:t>63.464.310/0001-87</w:t>
            </w:r>
          </w:p>
        </w:tc>
      </w:tr>
      <w:tr>
        <w:trPr>
          <w:cantSplit/>
        </w:trPr>
        <w:tc>
          <w:tcPr>
            <w:tcW w:type="dxa" w:w="2835"/>
            <w:tcMar>
              <w:top w:w="70" w:type="dxa"/>
              <w:start w:w="80" w:type="dxa"/>
              <w:bottom w:w="70" w:type="dxa"/>
              <w:end w:w="80" w:type="dxa"/>
            </w:tcMar>
            <w:shd w:fill="F8FAFD"/>
            <w:vAlign w:val="top"/>
          </w:tcPr>
          <w:p>
            <w:r>
              <w:rPr>
                <w:color w:val="1C2434"/>
                <w:sz w:val="17"/>
              </w:rPr>
              <w:t>Versão</w:t>
            </w:r>
          </w:p>
        </w:tc>
        <w:tc>
          <w:tcPr>
            <w:tcW w:type="dxa" w:w="6236"/>
            <w:tcMar>
              <w:top w:w="70" w:type="dxa"/>
              <w:start w:w="80" w:type="dxa"/>
              <w:bottom w:w="70" w:type="dxa"/>
              <w:end w:w="80" w:type="dxa"/>
            </w:tcMar>
            <w:shd w:fill="F8FAFD"/>
            <w:vAlign w:val="top"/>
          </w:tcPr>
          <w:p>
            <w:r>
              <w:rPr>
                <w:color w:val="1C2434"/>
                <w:sz w:val="17"/>
              </w:rPr>
              <w:t>1.1 - Final</w:t>
            </w:r>
          </w:p>
        </w:tc>
      </w:tr>
      <w:tr>
        <w:trPr>
          <w:cantSplit/>
        </w:trPr>
        <w:tc>
          <w:tcPr>
            <w:tcW w:type="dxa" w:w="2835"/>
            <w:tcMar>
              <w:top w:w="70" w:type="dxa"/>
              <w:start w:w="80" w:type="dxa"/>
              <w:bottom w:w="70" w:type="dxa"/>
              <w:end w:w="80" w:type="dxa"/>
            </w:tcMar>
            <w:vAlign w:val="top"/>
          </w:tcPr>
          <w:p>
            <w:r>
              <w:rPr>
                <w:color w:val="1C2434"/>
                <w:sz w:val="17"/>
              </w:rPr>
              <w:t>Data de emissão</w:t>
            </w:r>
          </w:p>
        </w:tc>
        <w:tc>
          <w:tcPr>
            <w:tcW w:type="dxa" w:w="6236"/>
            <w:tcMar>
              <w:top w:w="70" w:type="dxa"/>
              <w:start w:w="80" w:type="dxa"/>
              <w:bottom w:w="70" w:type="dxa"/>
              <w:end w:w="80" w:type="dxa"/>
            </w:tcMar>
            <w:vAlign w:val="top"/>
          </w:tcPr>
          <w:p>
            <w:r>
              <w:rPr>
                <w:color w:val="1C2434"/>
                <w:sz w:val="17"/>
              </w:rPr>
              <w:t>17/08/2026</w:t>
            </w:r>
          </w:p>
        </w:tc>
      </w:tr>
      <w:tr>
        <w:trPr>
          <w:cantSplit/>
        </w:trPr>
        <w:tc>
          <w:tcPr>
            <w:tcW w:type="dxa" w:w="2835"/>
            <w:tcMar>
              <w:top w:w="70" w:type="dxa"/>
              <w:start w:w="80" w:type="dxa"/>
              <w:bottom w:w="70" w:type="dxa"/>
              <w:end w:w="80" w:type="dxa"/>
            </w:tcMar>
            <w:shd w:fill="F8FAFD"/>
            <w:vAlign w:val="top"/>
          </w:tcPr>
          <w:p>
            <w:r>
              <w:rPr>
                <w:color w:val="1C2434"/>
                <w:sz w:val="17"/>
              </w:rPr>
              <w:t>Responsável por Compliance</w:t>
            </w:r>
          </w:p>
        </w:tc>
        <w:tc>
          <w:tcPr>
            <w:tcW w:type="dxa" w:w="6236"/>
            <w:tcMar>
              <w:top w:w="70" w:type="dxa"/>
              <w:start w:w="80" w:type="dxa"/>
              <w:bottom w:w="70" w:type="dxa"/>
              <w:end w:w="80" w:type="dxa"/>
            </w:tcMar>
            <w:shd w:fill="F8FAFD"/>
            <w:vAlign w:val="top"/>
          </w:tcPr>
          <w:p>
            <w:r>
              <w:rPr>
                <w:color w:val="1C2434"/>
                <w:sz w:val="17"/>
              </w:rPr>
              <w:t>Leonardo Montenegro - Advogado</w:t>
            </w:r>
          </w:p>
        </w:tc>
      </w:tr>
      <w:tr>
        <w:trPr>
          <w:cantSplit/>
        </w:trPr>
        <w:tc>
          <w:tcPr>
            <w:tcW w:type="dxa" w:w="2835"/>
            <w:tcMar>
              <w:top w:w="70" w:type="dxa"/>
              <w:start w:w="80" w:type="dxa"/>
              <w:bottom w:w="70" w:type="dxa"/>
              <w:end w:w="80" w:type="dxa"/>
            </w:tcMar>
            <w:vAlign w:val="top"/>
          </w:tcPr>
          <w:p>
            <w:r>
              <w:rPr>
                <w:color w:val="1C2434"/>
                <w:sz w:val="17"/>
              </w:rPr>
              <w:t>Aprovação</w:t>
            </w:r>
          </w:p>
        </w:tc>
        <w:tc>
          <w:tcPr>
            <w:tcW w:type="dxa" w:w="6236"/>
            <w:tcMar>
              <w:top w:w="70" w:type="dxa"/>
              <w:start w:w="80" w:type="dxa"/>
              <w:bottom w:w="70" w:type="dxa"/>
              <w:end w:w="80" w:type="dxa"/>
            </w:tcMar>
            <w:vAlign w:val="top"/>
          </w:tcPr>
          <w:p>
            <w:r>
              <w:rPr>
                <w:color w:val="1C2434"/>
                <w:sz w:val="17"/>
              </w:rPr>
              <w:t>Leonardo Montenegro - Advogado | 17/08/2026</w:t>
            </w:r>
          </w:p>
        </w:tc>
      </w:tr>
      <w:tr>
        <w:trPr>
          <w:cantSplit/>
        </w:trPr>
        <w:tc>
          <w:tcPr>
            <w:tcW w:type="dxa" w:w="2835"/>
            <w:tcMar>
              <w:top w:w="70" w:type="dxa"/>
              <w:start w:w="80" w:type="dxa"/>
              <w:bottom w:w="70" w:type="dxa"/>
              <w:end w:w="80" w:type="dxa"/>
            </w:tcMar>
            <w:shd w:fill="F8FAFD"/>
            <w:vAlign w:val="top"/>
          </w:tcPr>
          <w:p>
            <w:r>
              <w:rPr>
                <w:color w:val="1C2434"/>
                <w:sz w:val="17"/>
              </w:rPr>
              <w:t>Classificação</w:t>
            </w:r>
          </w:p>
        </w:tc>
        <w:tc>
          <w:tcPr>
            <w:tcW w:type="dxa" w:w="6236"/>
            <w:tcMar>
              <w:top w:w="70" w:type="dxa"/>
              <w:start w:w="80" w:type="dxa"/>
              <w:bottom w:w="70" w:type="dxa"/>
              <w:end w:w="80" w:type="dxa"/>
            </w:tcMar>
            <w:shd w:fill="F8FAFD"/>
            <w:vAlign w:val="top"/>
          </w:tcPr>
          <w:p>
            <w:r>
              <w:rPr>
                <w:color w:val="1C2434"/>
                <w:sz w:val="17"/>
              </w:rPr>
              <w:t>Confidencial - uso interno e compartilhamento controlado com parceiros</w:t>
            </w:r>
          </w:p>
        </w:tc>
      </w:tr>
    </w:tbl>
    <w:p>
      <w:pPr>
        <w:spacing w:after="0"/>
      </w:pPr>
    </w:p>
    <w:tbl>
      <w:tblPr>
        <w:tblW w:type="auto" w:w="0"/>
        <w:jc w:val="center"/>
        <w:tblLook w:firstColumn="1" w:firstRow="1" w:lastColumn="0" w:lastRow="0" w:noHBand="0" w:noVBand="1" w:val="04A0"/>
      </w:tblPr>
      <w:tblGrid>
        <w:gridCol w:w="9972"/>
      </w:tblGrid>
      <w:tr>
        <w:tc>
          <w:tcPr>
            <w:tcW w:type="dxa" w:w="9972"/>
            <w:shd w:fill="FFF8E8"/>
            <w:tcMar>
              <w:top w:w="130" w:type="dxa"/>
              <w:start w:w="140" w:type="dxa"/>
              <w:bottom w:w="130" w:type="dxa"/>
              <w:end w:w="140" w:type="dxa"/>
            </w:tcMar>
          </w:tcPr>
          <w:p>
            <w:r>
              <w:rPr>
                <w:b/>
                <w:color w:val="B54708"/>
                <w:sz w:val="19"/>
              </w:rPr>
              <w:t>NOTA DE APLICAÇÃO REGULATÓRIA</w:t>
              <w:br/>
            </w:r>
            <w:r>
              <w:rPr>
                <w:color w:val="1C2434"/>
                <w:sz w:val="17"/>
              </w:rPr>
              <w:t>Esta política foi estruturada para a ZENDPAG SERVIÇOS FINANCEIROS LTDA, operadora da marca NUVRA, considerando o modelo informado nesta versão: a Nuvra atua como plataforma tecnológica, integradora e camada de orquestração, utilizando instituições e prestadores regulados para a execução das atividades que dependam de autorização específica. Este documento não deve ser interpretado como declaração de autorização própria do Banco Central do Brasil para atuar como instituição financeira, instituição de pagamento, prestadora de serviços de ativos virtuais ou instituição autorizada a operar câmbio. Qualquer alteração desse perímetro exige validação jurídica e atualização formal desta política.</w:t>
            </w:r>
          </w:p>
        </w:tc>
      </w:tr>
    </w:tbl>
    <w:p>
      <w:pPr>
        <w:spacing w:after="0"/>
      </w:pPr>
    </w:p>
    <w:p>
      <w:r>
        <w:br w:type="page"/>
      </w:r>
    </w:p>
    <w:p>
      <w:pPr>
        <w:pStyle w:val="Heading1"/>
      </w:pPr>
      <w:r>
        <w:t>Controle do documento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835"/>
            <w:shd w:fill="071A52"/>
            <w:tcMar>
              <w:top w:w="90" w:type="dxa"/>
              <w:start w:w="90" w:type="dxa"/>
              <w:bottom w:w="90" w:type="dxa"/>
              <w:end w:w="90" w:type="dxa"/>
            </w:tcMar>
            <w:vAlign w:val="center"/>
          </w:tcPr>
          <w:p>
            <w:pPr>
              <w:jc w:val="left"/>
            </w:pPr>
            <w:r/>
            <w:r>
              <w:rPr>
                <w:b/>
                <w:color w:val="FFFFFF"/>
                <w:sz w:val="16"/>
              </w:rPr>
              <w:t>Item</w:t>
            </w:r>
          </w:p>
        </w:tc>
        <w:tc>
          <w:tcPr>
            <w:tcW w:type="dxa" w:w="6236"/>
            <w:shd w:fill="071A52"/>
            <w:tcMar>
              <w:top w:w="90" w:type="dxa"/>
              <w:start w:w="90" w:type="dxa"/>
              <w:bottom w:w="90" w:type="dxa"/>
              <w:end w:w="90" w:type="dxa"/>
            </w:tcMar>
            <w:vAlign w:val="center"/>
          </w:tcPr>
          <w:p>
            <w:pPr>
              <w:jc w:val="left"/>
            </w:pPr>
            <w:r/>
            <w:r>
              <w:rPr>
                <w:b/>
                <w:color w:val="FFFFFF"/>
                <w:sz w:val="16"/>
              </w:rPr>
              <w:t>Definição</w:t>
            </w:r>
          </w:p>
        </w:tc>
      </w:tr>
      <w:tr>
        <w:trPr>
          <w:cantSplit/>
        </w:trPr>
        <w:tc>
          <w:tcPr>
            <w:tcW w:type="dxa" w:w="2835"/>
            <w:tcMar>
              <w:top w:w="70" w:type="dxa"/>
              <w:start w:w="80" w:type="dxa"/>
              <w:bottom w:w="70" w:type="dxa"/>
              <w:end w:w="80" w:type="dxa"/>
            </w:tcMar>
            <w:vAlign w:val="top"/>
          </w:tcPr>
          <w:p>
            <w:r>
              <w:rPr>
                <w:color w:val="1C2434"/>
                <w:sz w:val="16"/>
              </w:rPr>
              <w:t>Proprietário da política</w:t>
            </w:r>
          </w:p>
        </w:tc>
        <w:tc>
          <w:tcPr>
            <w:tcW w:type="dxa" w:w="6236"/>
            <w:tcMar>
              <w:top w:w="70" w:type="dxa"/>
              <w:start w:w="80" w:type="dxa"/>
              <w:bottom w:w="70" w:type="dxa"/>
              <w:end w:w="80" w:type="dxa"/>
            </w:tcMar>
            <w:vAlign w:val="top"/>
          </w:tcPr>
          <w:p>
            <w:r>
              <w:rPr>
                <w:color w:val="1C2434"/>
                <w:sz w:val="16"/>
              </w:rPr>
              <w:t>Área de Compliance e Riscos</w:t>
            </w:r>
          </w:p>
        </w:tc>
      </w:tr>
      <w:tr>
        <w:trPr>
          <w:cantSplit/>
        </w:trPr>
        <w:tc>
          <w:tcPr>
            <w:tcW w:type="dxa" w:w="2835"/>
            <w:tcMar>
              <w:top w:w="70" w:type="dxa"/>
              <w:start w:w="80" w:type="dxa"/>
              <w:bottom w:w="70" w:type="dxa"/>
              <w:end w:w="80" w:type="dxa"/>
            </w:tcMar>
            <w:shd w:fill="F8FAFD"/>
            <w:vAlign w:val="top"/>
          </w:tcPr>
          <w:p>
            <w:r>
              <w:rPr>
                <w:color w:val="1C2434"/>
                <w:sz w:val="16"/>
              </w:rPr>
              <w:t>Aprovador</w:t>
            </w:r>
          </w:p>
        </w:tc>
        <w:tc>
          <w:tcPr>
            <w:tcW w:type="dxa" w:w="6236"/>
            <w:tcMar>
              <w:top w:w="70" w:type="dxa"/>
              <w:start w:w="80" w:type="dxa"/>
              <w:bottom w:w="70" w:type="dxa"/>
              <w:end w:w="80" w:type="dxa"/>
            </w:tcMar>
            <w:shd w:fill="F8FAFD"/>
            <w:vAlign w:val="top"/>
          </w:tcPr>
          <w:p>
            <w:r>
              <w:rPr>
                <w:color w:val="1C2434"/>
                <w:sz w:val="16"/>
              </w:rPr>
              <w:t>Leonardo Montenegro - Advogado</w:t>
            </w:r>
          </w:p>
        </w:tc>
      </w:tr>
      <w:tr>
        <w:trPr>
          <w:cantSplit/>
        </w:trPr>
        <w:tc>
          <w:tcPr>
            <w:tcW w:type="dxa" w:w="2835"/>
            <w:tcMar>
              <w:top w:w="70" w:type="dxa"/>
              <w:start w:w="80" w:type="dxa"/>
              <w:bottom w:w="70" w:type="dxa"/>
              <w:end w:w="80" w:type="dxa"/>
            </w:tcMar>
            <w:vAlign w:val="top"/>
          </w:tcPr>
          <w:p>
            <w:r>
              <w:rPr>
                <w:color w:val="1C2434"/>
                <w:sz w:val="16"/>
              </w:rPr>
              <w:t>Periodicidade de revisão</w:t>
            </w:r>
          </w:p>
        </w:tc>
        <w:tc>
          <w:tcPr>
            <w:tcW w:type="dxa" w:w="6236"/>
            <w:tcMar>
              <w:top w:w="70" w:type="dxa"/>
              <w:start w:w="80" w:type="dxa"/>
              <w:bottom w:w="70" w:type="dxa"/>
              <w:end w:w="80" w:type="dxa"/>
            </w:tcMar>
            <w:vAlign w:val="top"/>
          </w:tcPr>
          <w:p>
            <w:r>
              <w:rPr>
                <w:color w:val="1C2434"/>
                <w:sz w:val="16"/>
              </w:rPr>
              <w:t>No mínimo anual e sempre que houver mudança regulatória, societária, de produto, canal, geografia ou risco material</w:t>
            </w:r>
          </w:p>
        </w:tc>
      </w:tr>
      <w:tr>
        <w:trPr>
          <w:cantSplit/>
        </w:trPr>
        <w:tc>
          <w:tcPr>
            <w:tcW w:type="dxa" w:w="2835"/>
            <w:tcMar>
              <w:top w:w="70" w:type="dxa"/>
              <w:start w:w="80" w:type="dxa"/>
              <w:bottom w:w="70" w:type="dxa"/>
              <w:end w:w="80" w:type="dxa"/>
            </w:tcMar>
            <w:shd w:fill="F8FAFD"/>
            <w:vAlign w:val="top"/>
          </w:tcPr>
          <w:p>
            <w:r>
              <w:rPr>
                <w:color w:val="1C2434"/>
                <w:sz w:val="16"/>
              </w:rPr>
              <w:t>Abrangência</w:t>
            </w:r>
          </w:p>
        </w:tc>
        <w:tc>
          <w:tcPr>
            <w:tcW w:type="dxa" w:w="6236"/>
            <w:tcMar>
              <w:top w:w="70" w:type="dxa"/>
              <w:start w:w="80" w:type="dxa"/>
              <w:bottom w:w="70" w:type="dxa"/>
              <w:end w:w="80" w:type="dxa"/>
            </w:tcMar>
            <w:shd w:fill="F8FAFD"/>
            <w:vAlign w:val="top"/>
          </w:tcPr>
          <w:p>
            <w:r>
              <w:rPr>
                <w:color w:val="1C2434"/>
                <w:sz w:val="16"/>
              </w:rPr>
              <w:t>NUVRA, administradores, empregados, terceiros críticos, prestadores e parceiros quando contratualmente aplicável</w:t>
            </w:r>
          </w:p>
        </w:tc>
      </w:tr>
      <w:tr>
        <w:trPr>
          <w:cantSplit/>
        </w:trPr>
        <w:tc>
          <w:tcPr>
            <w:tcW w:type="dxa" w:w="2835"/>
            <w:tcMar>
              <w:top w:w="70" w:type="dxa"/>
              <w:start w:w="80" w:type="dxa"/>
              <w:bottom w:w="70" w:type="dxa"/>
              <w:end w:w="80" w:type="dxa"/>
            </w:tcMar>
            <w:vAlign w:val="top"/>
          </w:tcPr>
          <w:p>
            <w:r>
              <w:rPr>
                <w:color w:val="1C2434"/>
                <w:sz w:val="16"/>
              </w:rPr>
              <w:t>Evidências</w:t>
            </w:r>
          </w:p>
        </w:tc>
        <w:tc>
          <w:tcPr>
            <w:tcW w:type="dxa" w:w="6236"/>
            <w:tcMar>
              <w:top w:w="70" w:type="dxa"/>
              <w:start w:w="80" w:type="dxa"/>
              <w:bottom w:w="70" w:type="dxa"/>
              <w:end w:w="80" w:type="dxa"/>
            </w:tcMar>
            <w:vAlign w:val="top"/>
          </w:tcPr>
          <w:p>
            <w:r>
              <w:rPr>
                <w:color w:val="1C2434"/>
                <w:sz w:val="16"/>
              </w:rPr>
              <w:t>Registros eletrônicos, logs, dossiês de KYC/KYB, pareceres, alertas, investigações, comunicações e trilhas de auditoria</w:t>
            </w:r>
          </w:p>
        </w:tc>
      </w:tr>
      <w:tr>
        <w:trPr>
          <w:cantSplit/>
        </w:trPr>
        <w:tc>
          <w:tcPr>
            <w:tcW w:type="dxa" w:w="2835"/>
            <w:tcMar>
              <w:top w:w="70" w:type="dxa"/>
              <w:start w:w="80" w:type="dxa"/>
              <w:bottom w:w="70" w:type="dxa"/>
              <w:end w:w="80" w:type="dxa"/>
            </w:tcMar>
            <w:shd w:fill="F8FAFD"/>
            <w:vAlign w:val="top"/>
          </w:tcPr>
          <w:p>
            <w:r>
              <w:rPr>
                <w:color w:val="1C2434"/>
                <w:sz w:val="16"/>
              </w:rPr>
              <w:t>Prazo mínimo de retenção</w:t>
            </w:r>
          </w:p>
        </w:tc>
        <w:tc>
          <w:tcPr>
            <w:tcW w:type="dxa" w:w="6236"/>
            <w:tcMar>
              <w:top w:w="70" w:type="dxa"/>
              <w:start w:w="80" w:type="dxa"/>
              <w:bottom w:w="70" w:type="dxa"/>
              <w:end w:w="80" w:type="dxa"/>
            </w:tcMar>
            <w:shd w:fill="F8FAFD"/>
            <w:vAlign w:val="top"/>
          </w:tcPr>
          <w:p>
            <w:r>
              <w:rPr>
                <w:color w:val="1C2434"/>
                <w:sz w:val="16"/>
              </w:rPr>
              <w:t>10 anos para registros de PLD/FTP e dossiês transacionais ou pelo prazo superior exigido por norma específica, contrato ou ordem de autoridade competente</w:t>
            </w:r>
          </w:p>
        </w:tc>
      </w:tr>
    </w:tbl>
    <w:p>
      <w:pPr>
        <w:spacing w:after="0"/>
      </w:pPr>
    </w:p>
    <w:p>
      <w:pPr>
        <w:pStyle w:val="Heading1"/>
      </w:pPr>
      <w:r>
        <w:t>Identificação institucional e modelo de operação regulada</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948"/>
            <w:shd w:fill="071A52"/>
            <w:tcMar>
              <w:top w:w="90" w:type="dxa"/>
              <w:start w:w="90" w:type="dxa"/>
              <w:bottom w:w="90" w:type="dxa"/>
              <w:end w:w="90" w:type="dxa"/>
            </w:tcMar>
            <w:vAlign w:val="center"/>
          </w:tcPr>
          <w:p>
            <w:pPr>
              <w:jc w:val="left"/>
            </w:pPr>
            <w:r/>
            <w:r>
              <w:rPr>
                <w:b/>
                <w:color w:val="FFFFFF"/>
                <w:sz w:val="16"/>
              </w:rPr>
              <w:t>Campo</w:t>
            </w:r>
          </w:p>
        </w:tc>
        <w:tc>
          <w:tcPr>
            <w:tcW w:type="dxa" w:w="6123"/>
            <w:shd w:fill="071A52"/>
            <w:tcMar>
              <w:top w:w="90" w:type="dxa"/>
              <w:start w:w="90" w:type="dxa"/>
              <w:bottom w:w="90" w:type="dxa"/>
              <w:end w:w="90" w:type="dxa"/>
            </w:tcMar>
            <w:vAlign w:val="center"/>
          </w:tcPr>
          <w:p>
            <w:pPr>
              <w:jc w:val="left"/>
            </w:pPr>
            <w:r/>
            <w:r>
              <w:rPr>
                <w:b/>
                <w:color w:val="FFFFFF"/>
                <w:sz w:val="16"/>
              </w:rPr>
              <w:t>Informação</w:t>
            </w:r>
          </w:p>
        </w:tc>
      </w:tr>
      <w:tr>
        <w:trPr>
          <w:cantSplit/>
        </w:trPr>
        <w:tc>
          <w:tcPr>
            <w:tcW w:type="dxa" w:w="2948"/>
            <w:tcMar>
              <w:top w:w="70" w:type="dxa"/>
              <w:start w:w="80" w:type="dxa"/>
              <w:bottom w:w="70" w:type="dxa"/>
              <w:end w:w="80" w:type="dxa"/>
            </w:tcMar>
            <w:vAlign w:val="top"/>
          </w:tcPr>
          <w:p>
            <w:r>
              <w:rPr>
                <w:color w:val="1C2434"/>
                <w:sz w:val="16"/>
              </w:rPr>
              <w:t>Entidade legal</w:t>
            </w:r>
          </w:p>
        </w:tc>
        <w:tc>
          <w:tcPr>
            <w:tcW w:type="dxa" w:w="6123"/>
            <w:tcMar>
              <w:top w:w="70" w:type="dxa"/>
              <w:start w:w="80" w:type="dxa"/>
              <w:bottom w:w="70" w:type="dxa"/>
              <w:end w:w="80" w:type="dxa"/>
            </w:tcMar>
            <w:vAlign w:val="top"/>
          </w:tcPr>
          <w:p>
            <w:r>
              <w:rPr>
                <w:color w:val="1C2434"/>
                <w:sz w:val="16"/>
              </w:rPr>
              <w:t>ZENDPAG SERVIÇOS FINANCEIROS LTDA</w:t>
            </w:r>
          </w:p>
        </w:tc>
      </w:tr>
      <w:tr>
        <w:trPr>
          <w:cantSplit/>
        </w:trPr>
        <w:tc>
          <w:tcPr>
            <w:tcW w:type="dxa" w:w="2948"/>
            <w:tcMar>
              <w:top w:w="70" w:type="dxa"/>
              <w:start w:w="80" w:type="dxa"/>
              <w:bottom w:w="70" w:type="dxa"/>
              <w:end w:w="80" w:type="dxa"/>
            </w:tcMar>
            <w:shd w:fill="F8FAFD"/>
            <w:vAlign w:val="top"/>
          </w:tcPr>
          <w:p>
            <w:r>
              <w:rPr>
                <w:color w:val="1C2434"/>
                <w:sz w:val="16"/>
              </w:rPr>
              <w:t>Nome / marca</w:t>
            </w:r>
          </w:p>
        </w:tc>
        <w:tc>
          <w:tcPr>
            <w:tcW w:type="dxa" w:w="6123"/>
            <w:tcMar>
              <w:top w:w="70" w:type="dxa"/>
              <w:start w:w="80" w:type="dxa"/>
              <w:bottom w:w="70" w:type="dxa"/>
              <w:end w:w="80" w:type="dxa"/>
            </w:tcMar>
            <w:shd w:fill="F8FAFD"/>
            <w:vAlign w:val="top"/>
          </w:tcPr>
          <w:p>
            <w:r>
              <w:rPr>
                <w:color w:val="1C2434"/>
                <w:sz w:val="16"/>
              </w:rPr>
              <w:t>NUVRA</w:t>
            </w:r>
          </w:p>
        </w:tc>
      </w:tr>
      <w:tr>
        <w:trPr>
          <w:cantSplit/>
        </w:trPr>
        <w:tc>
          <w:tcPr>
            <w:tcW w:type="dxa" w:w="2948"/>
            <w:tcMar>
              <w:top w:w="70" w:type="dxa"/>
              <w:start w:w="80" w:type="dxa"/>
              <w:bottom w:w="70" w:type="dxa"/>
              <w:end w:w="80" w:type="dxa"/>
            </w:tcMar>
            <w:vAlign w:val="top"/>
          </w:tcPr>
          <w:p>
            <w:r>
              <w:rPr>
                <w:color w:val="1C2434"/>
                <w:sz w:val="16"/>
              </w:rPr>
              <w:t>CNPJ</w:t>
            </w:r>
          </w:p>
        </w:tc>
        <w:tc>
          <w:tcPr>
            <w:tcW w:type="dxa" w:w="6123"/>
            <w:tcMar>
              <w:top w:w="70" w:type="dxa"/>
              <w:start w:w="80" w:type="dxa"/>
              <w:bottom w:w="70" w:type="dxa"/>
              <w:end w:w="80" w:type="dxa"/>
            </w:tcMar>
            <w:vAlign w:val="top"/>
          </w:tcPr>
          <w:p>
            <w:r>
              <w:rPr>
                <w:color w:val="1C2434"/>
                <w:sz w:val="16"/>
              </w:rPr>
              <w:t>63.464.310/0001-87</w:t>
            </w:r>
          </w:p>
        </w:tc>
      </w:tr>
      <w:tr>
        <w:trPr>
          <w:cantSplit/>
        </w:trPr>
        <w:tc>
          <w:tcPr>
            <w:tcW w:type="dxa" w:w="2948"/>
            <w:tcMar>
              <w:top w:w="70" w:type="dxa"/>
              <w:start w:w="80" w:type="dxa"/>
              <w:bottom w:w="70" w:type="dxa"/>
              <w:end w:w="80" w:type="dxa"/>
            </w:tcMar>
            <w:shd w:fill="F8FAFD"/>
            <w:vAlign w:val="top"/>
          </w:tcPr>
          <w:p>
            <w:r>
              <w:rPr>
                <w:color w:val="1C2434"/>
                <w:sz w:val="16"/>
              </w:rPr>
              <w:t>Sede</w:t>
            </w:r>
          </w:p>
        </w:tc>
        <w:tc>
          <w:tcPr>
            <w:tcW w:type="dxa" w:w="6123"/>
            <w:tcMar>
              <w:top w:w="70" w:type="dxa"/>
              <w:start w:w="80" w:type="dxa"/>
              <w:bottom w:w="70" w:type="dxa"/>
              <w:end w:w="80" w:type="dxa"/>
            </w:tcMar>
            <w:shd w:fill="F8FAFD"/>
            <w:vAlign w:val="top"/>
          </w:tcPr>
          <w:p>
            <w:r>
              <w:rPr>
                <w:color w:val="1C2434"/>
                <w:sz w:val="16"/>
              </w:rPr>
              <w:t>Rua Pais Leme, 215, Conj. 1713, Pinheiros, São Paulo/SP, CEP 05424-150</w:t>
            </w:r>
          </w:p>
        </w:tc>
      </w:tr>
      <w:tr>
        <w:trPr>
          <w:cantSplit/>
        </w:trPr>
        <w:tc>
          <w:tcPr>
            <w:tcW w:type="dxa" w:w="2948"/>
            <w:tcMar>
              <w:top w:w="70" w:type="dxa"/>
              <w:start w:w="80" w:type="dxa"/>
              <w:bottom w:w="70" w:type="dxa"/>
              <w:end w:w="80" w:type="dxa"/>
            </w:tcMar>
            <w:vAlign w:val="top"/>
          </w:tcPr>
          <w:p>
            <w:r>
              <w:rPr>
                <w:color w:val="1C2434"/>
                <w:sz w:val="16"/>
              </w:rPr>
              <w:t>Website</w:t>
            </w:r>
          </w:p>
        </w:tc>
        <w:tc>
          <w:tcPr>
            <w:tcW w:type="dxa" w:w="6123"/>
            <w:tcMar>
              <w:top w:w="70" w:type="dxa"/>
              <w:start w:w="80" w:type="dxa"/>
              <w:bottom w:w="70" w:type="dxa"/>
              <w:end w:w="80" w:type="dxa"/>
            </w:tcMar>
            <w:vAlign w:val="top"/>
          </w:tcPr>
          <w:p>
            <w:r>
              <w:rPr>
                <w:color w:val="1C2434"/>
                <w:sz w:val="16"/>
              </w:rPr>
              <w:t>paynuvra.com</w:t>
            </w:r>
          </w:p>
        </w:tc>
      </w:tr>
      <w:tr>
        <w:trPr>
          <w:cantSplit/>
        </w:trPr>
        <w:tc>
          <w:tcPr>
            <w:tcW w:type="dxa" w:w="2948"/>
            <w:tcMar>
              <w:top w:w="70" w:type="dxa"/>
              <w:start w:w="80" w:type="dxa"/>
              <w:bottom w:w="70" w:type="dxa"/>
              <w:end w:w="80" w:type="dxa"/>
            </w:tcMar>
            <w:shd w:fill="F8FAFD"/>
            <w:vAlign w:val="top"/>
          </w:tcPr>
          <w:p>
            <w:r>
              <w:rPr>
                <w:color w:val="1C2434"/>
                <w:sz w:val="16"/>
              </w:rPr>
              <w:t>E-mail de Compliance</w:t>
            </w:r>
          </w:p>
        </w:tc>
        <w:tc>
          <w:tcPr>
            <w:tcW w:type="dxa" w:w="6123"/>
            <w:tcMar>
              <w:top w:w="70" w:type="dxa"/>
              <w:start w:w="80" w:type="dxa"/>
              <w:bottom w:w="70" w:type="dxa"/>
              <w:end w:w="80" w:type="dxa"/>
            </w:tcMar>
            <w:shd w:fill="F8FAFD"/>
            <w:vAlign w:val="top"/>
          </w:tcPr>
          <w:p>
            <w:r>
              <w:rPr>
                <w:color w:val="1C2434"/>
                <w:sz w:val="16"/>
              </w:rPr>
              <w:t>compliance@paynuvra.com</w:t>
            </w:r>
          </w:p>
        </w:tc>
      </w:tr>
      <w:tr>
        <w:trPr>
          <w:cantSplit/>
        </w:trPr>
        <w:tc>
          <w:tcPr>
            <w:tcW w:type="dxa" w:w="2948"/>
            <w:tcMar>
              <w:top w:w="70" w:type="dxa"/>
              <w:start w:w="80" w:type="dxa"/>
              <w:bottom w:w="70" w:type="dxa"/>
              <w:end w:w="80" w:type="dxa"/>
            </w:tcMar>
            <w:vAlign w:val="top"/>
          </w:tcPr>
          <w:p>
            <w:r>
              <w:rPr>
                <w:color w:val="1C2434"/>
                <w:sz w:val="16"/>
              </w:rPr>
              <w:t>CEO / representante legal</w:t>
            </w:r>
          </w:p>
        </w:tc>
        <w:tc>
          <w:tcPr>
            <w:tcW w:type="dxa" w:w="6123"/>
            <w:tcMar>
              <w:top w:w="70" w:type="dxa"/>
              <w:start w:w="80" w:type="dxa"/>
              <w:bottom w:w="70" w:type="dxa"/>
              <w:end w:w="80" w:type="dxa"/>
            </w:tcMar>
            <w:vAlign w:val="top"/>
          </w:tcPr>
          <w:p>
            <w:r>
              <w:rPr>
                <w:color w:val="1C2434"/>
                <w:sz w:val="16"/>
              </w:rPr>
              <w:t>Cauê Spinelli de Souza</w:t>
            </w:r>
          </w:p>
        </w:tc>
      </w:tr>
      <w:tr>
        <w:trPr>
          <w:cantSplit/>
        </w:trPr>
        <w:tc>
          <w:tcPr>
            <w:tcW w:type="dxa" w:w="2948"/>
            <w:tcMar>
              <w:top w:w="70" w:type="dxa"/>
              <w:start w:w="80" w:type="dxa"/>
              <w:bottom w:w="70" w:type="dxa"/>
              <w:end w:w="80" w:type="dxa"/>
            </w:tcMar>
            <w:shd w:fill="F8FAFD"/>
            <w:vAlign w:val="top"/>
          </w:tcPr>
          <w:p>
            <w:r>
              <w:rPr>
                <w:color w:val="1C2434"/>
                <w:sz w:val="16"/>
              </w:rPr>
              <w:t>Responsável por Compliance</w:t>
            </w:r>
          </w:p>
        </w:tc>
        <w:tc>
          <w:tcPr>
            <w:tcW w:type="dxa" w:w="6123"/>
            <w:tcMar>
              <w:top w:w="70" w:type="dxa"/>
              <w:start w:w="80" w:type="dxa"/>
              <w:bottom w:w="70" w:type="dxa"/>
              <w:end w:w="80" w:type="dxa"/>
            </w:tcMar>
            <w:shd w:fill="F8FAFD"/>
            <w:vAlign w:val="top"/>
          </w:tcPr>
          <w:p>
            <w:r>
              <w:rPr>
                <w:color w:val="1C2434"/>
                <w:sz w:val="16"/>
              </w:rPr>
              <w:t>Leonardo Montenegro - Advogado</w:t>
            </w:r>
          </w:p>
        </w:tc>
      </w:tr>
      <w:tr>
        <w:trPr>
          <w:cantSplit/>
        </w:trPr>
        <w:tc>
          <w:tcPr>
            <w:tcW w:type="dxa" w:w="2948"/>
            <w:tcMar>
              <w:top w:w="70" w:type="dxa"/>
              <w:start w:w="80" w:type="dxa"/>
              <w:bottom w:w="70" w:type="dxa"/>
              <w:end w:w="80" w:type="dxa"/>
            </w:tcMar>
            <w:vAlign w:val="top"/>
          </w:tcPr>
          <w:p>
            <w:r>
              <w:rPr>
                <w:color w:val="1C2434"/>
                <w:sz w:val="16"/>
              </w:rPr>
              <w:t>Head de Compliance / diretor responsável</w:t>
            </w:r>
          </w:p>
        </w:tc>
        <w:tc>
          <w:tcPr>
            <w:tcW w:type="dxa" w:w="6123"/>
            <w:tcMar>
              <w:top w:w="70" w:type="dxa"/>
              <w:start w:w="80" w:type="dxa"/>
              <w:bottom w:w="70" w:type="dxa"/>
              <w:end w:w="80" w:type="dxa"/>
            </w:tcMar>
            <w:vAlign w:val="top"/>
          </w:tcPr>
          <w:p>
            <w:r>
              <w:rPr>
                <w:color w:val="1C2434"/>
                <w:sz w:val="16"/>
              </w:rPr>
              <w:t>Cauã Vasconcellos - Head de Compliance</w:t>
            </w:r>
          </w:p>
        </w:tc>
      </w:tr>
      <w:tr>
        <w:trPr>
          <w:cantSplit/>
        </w:trPr>
        <w:tc>
          <w:tcPr>
            <w:tcW w:type="dxa" w:w="2948"/>
            <w:tcMar>
              <w:top w:w="70" w:type="dxa"/>
              <w:start w:w="80" w:type="dxa"/>
              <w:bottom w:w="70" w:type="dxa"/>
              <w:end w:w="80" w:type="dxa"/>
            </w:tcMar>
            <w:shd w:fill="F8FAFD"/>
            <w:vAlign w:val="top"/>
          </w:tcPr>
          <w:p>
            <w:r>
              <w:rPr>
                <w:color w:val="1C2434"/>
                <w:sz w:val="16"/>
              </w:rPr>
              <w:t>Responsável Jurídico</w:t>
            </w:r>
          </w:p>
        </w:tc>
        <w:tc>
          <w:tcPr>
            <w:tcW w:type="dxa" w:w="6123"/>
            <w:tcMar>
              <w:top w:w="70" w:type="dxa"/>
              <w:start w:w="80" w:type="dxa"/>
              <w:bottom w:w="70" w:type="dxa"/>
              <w:end w:w="80" w:type="dxa"/>
            </w:tcMar>
            <w:shd w:fill="F8FAFD"/>
            <w:vAlign w:val="top"/>
          </w:tcPr>
          <w:p>
            <w:r>
              <w:rPr>
                <w:color w:val="1C2434"/>
                <w:sz w:val="16"/>
              </w:rPr>
              <w:t>Leonardo Montenegro - Advogado</w:t>
            </w:r>
          </w:p>
        </w:tc>
      </w:tr>
      <w:tr>
        <w:trPr>
          <w:cantSplit/>
        </w:trPr>
        <w:tc>
          <w:tcPr>
            <w:tcW w:type="dxa" w:w="2948"/>
            <w:tcMar>
              <w:top w:w="70" w:type="dxa"/>
              <w:start w:w="80" w:type="dxa"/>
              <w:bottom w:w="70" w:type="dxa"/>
              <w:end w:w="80" w:type="dxa"/>
            </w:tcMar>
            <w:vAlign w:val="top"/>
          </w:tcPr>
          <w:p>
            <w:r>
              <w:rPr>
                <w:color w:val="1C2434"/>
                <w:sz w:val="16"/>
              </w:rPr>
              <w:t>Entidade contratante dos clientes</w:t>
            </w:r>
          </w:p>
        </w:tc>
        <w:tc>
          <w:tcPr>
            <w:tcW w:type="dxa" w:w="6123"/>
            <w:tcMar>
              <w:top w:w="70" w:type="dxa"/>
              <w:start w:w="80" w:type="dxa"/>
              <w:bottom w:w="70" w:type="dxa"/>
              <w:end w:w="80" w:type="dxa"/>
            </w:tcMar>
            <w:vAlign w:val="top"/>
          </w:tcPr>
          <w:p>
            <w:r>
              <w:rPr>
                <w:color w:val="1C2434"/>
                <w:sz w:val="16"/>
              </w:rPr>
              <w:t>ZENDPAG SERVIÇOS FINANCEIROS LTDA</w:t>
            </w:r>
          </w:p>
        </w:tc>
      </w:tr>
      <w:tr>
        <w:trPr>
          <w:cantSplit/>
        </w:trPr>
        <w:tc>
          <w:tcPr>
            <w:tcW w:type="dxa" w:w="2948"/>
            <w:tcMar>
              <w:top w:w="70" w:type="dxa"/>
              <w:start w:w="80" w:type="dxa"/>
              <w:bottom w:w="70" w:type="dxa"/>
              <w:end w:w="80" w:type="dxa"/>
            </w:tcMar>
            <w:shd w:fill="F8FAFD"/>
            <w:vAlign w:val="top"/>
          </w:tcPr>
          <w:p>
            <w:r>
              <w:rPr>
                <w:color w:val="1C2434"/>
                <w:sz w:val="16"/>
              </w:rPr>
              <w:t>Modelo regulatório</w:t>
            </w:r>
          </w:p>
        </w:tc>
        <w:tc>
          <w:tcPr>
            <w:tcW w:type="dxa" w:w="6123"/>
            <w:tcMar>
              <w:top w:w="70" w:type="dxa"/>
              <w:start w:w="80" w:type="dxa"/>
              <w:bottom w:w="70" w:type="dxa"/>
              <w:end w:w="80" w:type="dxa"/>
            </w:tcMar>
            <w:shd w:fill="F8FAFD"/>
            <w:vAlign w:val="top"/>
          </w:tcPr>
          <w:p>
            <w:r>
              <w:rPr>
                <w:color w:val="1C2434"/>
                <w:sz w:val="16"/>
              </w:rPr>
              <w:t>Atuação por integração e parceria contratual com instituições autorizadas, PSPs e demais prestadores regulados, conforme o produto e o fluxo financeiro.</w:t>
            </w:r>
          </w:p>
        </w:tc>
      </w:tr>
    </w:tbl>
    <w:p>
      <w:pPr>
        <w:spacing w:after="0"/>
      </w:pP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438"/>
            <w:shd w:fill="071A52"/>
            <w:tcMar>
              <w:top w:w="90" w:type="dxa"/>
              <w:start w:w="90" w:type="dxa"/>
              <w:bottom w:w="90" w:type="dxa"/>
              <w:end w:w="90" w:type="dxa"/>
            </w:tcMar>
            <w:vAlign w:val="center"/>
          </w:tcPr>
          <w:p>
            <w:pPr>
              <w:jc w:val="left"/>
            </w:pPr>
            <w:r/>
            <w:r>
              <w:rPr>
                <w:b/>
                <w:color w:val="FFFFFF"/>
                <w:sz w:val="16"/>
              </w:rPr>
              <w:t>Trilho / serviço</w:t>
            </w:r>
          </w:p>
        </w:tc>
        <w:tc>
          <w:tcPr>
            <w:tcW w:type="dxa" w:w="6633"/>
            <w:shd w:fill="071A52"/>
            <w:tcMar>
              <w:top w:w="90" w:type="dxa"/>
              <w:start w:w="90" w:type="dxa"/>
              <w:bottom w:w="90" w:type="dxa"/>
              <w:end w:w="90" w:type="dxa"/>
            </w:tcMar>
            <w:vAlign w:val="center"/>
          </w:tcPr>
          <w:p>
            <w:pPr>
              <w:jc w:val="left"/>
            </w:pPr>
            <w:r/>
            <w:r>
              <w:rPr>
                <w:b/>
                <w:color w:val="FFFFFF"/>
                <w:sz w:val="16"/>
              </w:rPr>
              <w:t>Executor / parceiro e delimitação</w:t>
            </w:r>
          </w:p>
        </w:tc>
      </w:tr>
      <w:tr>
        <w:trPr>
          <w:cantSplit/>
        </w:trPr>
        <w:tc>
          <w:tcPr>
            <w:tcW w:type="dxa" w:w="2438"/>
            <w:tcMar>
              <w:top w:w="70" w:type="dxa"/>
              <w:start w:w="80" w:type="dxa"/>
              <w:bottom w:w="70" w:type="dxa"/>
              <w:end w:w="80" w:type="dxa"/>
            </w:tcMar>
            <w:vAlign w:val="top"/>
          </w:tcPr>
          <w:p>
            <w:r>
              <w:rPr>
                <w:color w:val="1C2434"/>
                <w:sz w:val="16"/>
              </w:rPr>
              <w:t>Pix</w:t>
            </w:r>
          </w:p>
        </w:tc>
        <w:tc>
          <w:tcPr>
            <w:tcW w:type="dxa" w:w="6633"/>
            <w:tcMar>
              <w:top w:w="70" w:type="dxa"/>
              <w:start w:w="80" w:type="dxa"/>
              <w:bottom w:w="70" w:type="dxa"/>
              <w:end w:w="80" w:type="dxa"/>
            </w:tcMar>
            <w:vAlign w:val="top"/>
          </w:tcPr>
          <w:p>
            <w:r>
              <w:rPr>
                <w:color w:val="1C2434"/>
                <w:sz w:val="16"/>
              </w:rPr>
              <w:t>Pagar.me, atualmente operado pela Stone Instituição de Pagamento S.A., conforme escopo contratual e habilitação da integração. A Nuvra realiza a camada tecnológica, comercial e de orquestração aplicável.</w:t>
            </w:r>
          </w:p>
        </w:tc>
      </w:tr>
      <w:tr>
        <w:trPr>
          <w:cantSplit/>
        </w:trPr>
        <w:tc>
          <w:tcPr>
            <w:tcW w:type="dxa" w:w="2438"/>
            <w:tcMar>
              <w:top w:w="70" w:type="dxa"/>
              <w:start w:w="80" w:type="dxa"/>
              <w:bottom w:w="70" w:type="dxa"/>
              <w:end w:w="80" w:type="dxa"/>
            </w:tcMar>
            <w:shd w:fill="F8FAFD"/>
            <w:vAlign w:val="top"/>
          </w:tcPr>
          <w:p>
            <w:r>
              <w:rPr>
                <w:color w:val="1C2434"/>
                <w:sz w:val="16"/>
              </w:rPr>
              <w:t>Cartão</w:t>
            </w:r>
          </w:p>
        </w:tc>
        <w:tc>
          <w:tcPr>
            <w:tcW w:type="dxa" w:w="6633"/>
            <w:tcMar>
              <w:top w:w="70" w:type="dxa"/>
              <w:start w:w="80" w:type="dxa"/>
              <w:bottom w:w="70" w:type="dxa"/>
              <w:end w:w="80" w:type="dxa"/>
            </w:tcMar>
            <w:shd w:fill="F8FAFD"/>
            <w:vAlign w:val="top"/>
          </w:tcPr>
          <w:p>
            <w:r>
              <w:rPr>
                <w:color w:val="1C2434"/>
                <w:sz w:val="16"/>
              </w:rPr>
              <w:t>Pagar.me / Stone Instituição de Pagamento S.A., conforme credenciamento, adquirência, processamento e funcionalidades efetivamente contratadas.</w:t>
            </w:r>
          </w:p>
        </w:tc>
      </w:tr>
      <w:tr>
        <w:trPr>
          <w:cantSplit/>
        </w:trPr>
        <w:tc>
          <w:tcPr>
            <w:tcW w:type="dxa" w:w="2438"/>
            <w:tcMar>
              <w:top w:w="70" w:type="dxa"/>
              <w:start w:w="80" w:type="dxa"/>
              <w:bottom w:w="70" w:type="dxa"/>
              <w:end w:w="80" w:type="dxa"/>
            </w:tcMar>
            <w:vAlign w:val="top"/>
          </w:tcPr>
          <w:p>
            <w:r>
              <w:rPr>
                <w:color w:val="1C2434"/>
                <w:sz w:val="16"/>
              </w:rPr>
              <w:t>Payout em BRL</w:t>
            </w:r>
          </w:p>
        </w:tc>
        <w:tc>
          <w:tcPr>
            <w:tcW w:type="dxa" w:w="6633"/>
            <w:tcMar>
              <w:top w:w="70" w:type="dxa"/>
              <w:start w:w="80" w:type="dxa"/>
              <w:bottom w:w="70" w:type="dxa"/>
              <w:end w:w="80" w:type="dxa"/>
            </w:tcMar>
            <w:vAlign w:val="top"/>
          </w:tcPr>
          <w:p>
            <w:r>
              <w:rPr>
                <w:color w:val="1C2434"/>
                <w:sz w:val="16"/>
              </w:rPr>
              <w:t>Pagar.me / Stone para recebedores, transferências e repasses quando habilitados no contrato; outros fluxos de payout somente por parceiro compatível com a modalidade e o beneficiário.</w:t>
            </w:r>
          </w:p>
        </w:tc>
      </w:tr>
      <w:tr>
        <w:trPr>
          <w:cantSplit/>
        </w:trPr>
        <w:tc>
          <w:tcPr>
            <w:tcW w:type="dxa" w:w="2438"/>
            <w:tcMar>
              <w:top w:w="70" w:type="dxa"/>
              <w:start w:w="80" w:type="dxa"/>
              <w:bottom w:w="70" w:type="dxa"/>
              <w:end w:w="80" w:type="dxa"/>
            </w:tcMar>
            <w:shd w:fill="F8FAFD"/>
            <w:vAlign w:val="top"/>
          </w:tcPr>
          <w:p>
            <w:r>
              <w:rPr>
                <w:color w:val="1C2434"/>
                <w:sz w:val="16"/>
              </w:rPr>
              <w:t>Câmbio e remessas internacionais</w:t>
            </w:r>
          </w:p>
        </w:tc>
        <w:tc>
          <w:tcPr>
            <w:tcW w:type="dxa" w:w="6633"/>
            <w:tcMar>
              <w:top w:w="70" w:type="dxa"/>
              <w:start w:w="80" w:type="dxa"/>
              <w:bottom w:w="70" w:type="dxa"/>
              <w:end w:w="80" w:type="dxa"/>
            </w:tcMar>
            <w:shd w:fill="F8FAFD"/>
            <w:vAlign w:val="top"/>
          </w:tcPr>
          <w:p>
            <w:r>
              <w:rPr>
                <w:color w:val="1C2434"/>
                <w:sz w:val="16"/>
              </w:rPr>
              <w:t>Executados por instituição autorizada para o respectivo serviço. A Nuvra não executa câmbio regulado em nome próprio nesta versão da política; o parceiro deve ser formalmente cadastrado e aprovado antes da ativação.</w:t>
            </w:r>
          </w:p>
        </w:tc>
      </w:tr>
      <w:tr>
        <w:trPr>
          <w:cantSplit/>
        </w:trPr>
        <w:tc>
          <w:tcPr>
            <w:tcW w:type="dxa" w:w="2438"/>
            <w:tcMar>
              <w:top w:w="70" w:type="dxa"/>
              <w:start w:w="80" w:type="dxa"/>
              <w:bottom w:w="70" w:type="dxa"/>
              <w:end w:w="80" w:type="dxa"/>
            </w:tcMar>
            <w:vAlign w:val="top"/>
          </w:tcPr>
          <w:p>
            <w:r>
              <w:rPr>
                <w:color w:val="1C2434"/>
                <w:sz w:val="16"/>
              </w:rPr>
              <w:t>Cripto / ativos virtuais</w:t>
            </w:r>
          </w:p>
        </w:tc>
        <w:tc>
          <w:tcPr>
            <w:tcW w:type="dxa" w:w="6633"/>
            <w:tcMar>
              <w:top w:w="70" w:type="dxa"/>
              <w:start w:w="80" w:type="dxa"/>
              <w:bottom w:w="70" w:type="dxa"/>
              <w:end w:w="80" w:type="dxa"/>
            </w:tcMar>
            <w:vAlign w:val="top"/>
          </w:tcPr>
          <w:p>
            <w:r>
              <w:rPr>
                <w:color w:val="1C2434"/>
                <w:sz w:val="16"/>
              </w:rPr>
              <w:t>Executados por prestadora de serviços de ativos virtuais ou instituição habilitada segundo o regime regulatório aplicável. A Nuvra atua como camada tecnológica/orquestradora até que o parceiro específico de cada fluxo esteja formalmente aprovado e documentado.</w:t>
            </w:r>
          </w:p>
        </w:tc>
      </w:tr>
      <w:tr>
        <w:trPr>
          <w:cantSplit/>
        </w:trPr>
        <w:tc>
          <w:tcPr>
            <w:tcW w:type="dxa" w:w="2438"/>
            <w:tcMar>
              <w:top w:w="70" w:type="dxa"/>
              <w:start w:w="80" w:type="dxa"/>
              <w:bottom w:w="70" w:type="dxa"/>
              <w:end w:w="80" w:type="dxa"/>
            </w:tcMar>
            <w:shd w:fill="F8FAFD"/>
            <w:vAlign w:val="top"/>
          </w:tcPr>
          <w:p>
            <w:r>
              <w:rPr>
                <w:color w:val="1C2434"/>
                <w:sz w:val="16"/>
              </w:rPr>
              <w:t>Payout internacional / cripto</w:t>
            </w:r>
          </w:p>
        </w:tc>
        <w:tc>
          <w:tcPr>
            <w:tcW w:type="dxa" w:w="6633"/>
            <w:tcMar>
              <w:top w:w="70" w:type="dxa"/>
              <w:start w:w="80" w:type="dxa"/>
              <w:bottom w:w="70" w:type="dxa"/>
              <w:end w:w="80" w:type="dxa"/>
            </w:tcMar>
            <w:shd w:fill="F8FAFD"/>
            <w:vAlign w:val="top"/>
          </w:tcPr>
          <w:p>
            <w:r>
              <w:rPr>
                <w:color w:val="1C2434"/>
                <w:sz w:val="16"/>
              </w:rPr>
              <w:t>Somente por parceiro regulado compatível com o ativo, jurisdição, moeda e modalidade, com KYC/KYB, screening de beneficiário e monitoramento transacional/KYT conforme aplicável.</w:t>
            </w:r>
          </w:p>
        </w:tc>
      </w:tr>
    </w:tbl>
    <w:p>
      <w:pPr>
        <w:spacing w:after="0"/>
      </w:pPr>
    </w:p>
    <w:tbl>
      <w:tblPr>
        <w:tblW w:type="auto" w:w="0"/>
        <w:jc w:val="center"/>
        <w:tblLook w:firstColumn="1" w:firstRow="1" w:lastColumn="0" w:lastRow="0" w:noHBand="0" w:noVBand="1" w:val="04A0"/>
      </w:tblPr>
      <w:tblGrid>
        <w:gridCol w:w="9972"/>
      </w:tblGrid>
      <w:tr>
        <w:tc>
          <w:tcPr>
            <w:tcW w:type="dxa" w:w="9972"/>
            <w:shd w:fill="EEF4FF"/>
            <w:tcMar>
              <w:top w:w="130" w:type="dxa"/>
              <w:start w:w="140" w:type="dxa"/>
              <w:bottom w:w="130" w:type="dxa"/>
              <w:end w:w="140" w:type="dxa"/>
            </w:tcMar>
          </w:tcPr>
          <w:p>
            <w:r>
              <w:rPr>
                <w:b/>
                <w:color w:val="0A2B7A"/>
                <w:sz w:val="19"/>
              </w:rPr>
              <w:t>Delimitação de responsabilidade</w:t>
              <w:br/>
            </w:r>
            <w:r>
              <w:rPr>
                <w:color w:val="1C2434"/>
                <w:sz w:val="17"/>
              </w:rPr>
              <w:t>A indicação de um parceiro nesta política não substitui contrato, onboarding, homologação técnica, due diligence ou verificação do escopo efetivamente habilitado. Caso um trilho seja migrado, descontinuado ou executado por outro parceiro, o cadastro de terceiros e a matriz de responsabilidades devem ser atualizados antes da entrada em produção.</w:t>
            </w:r>
          </w:p>
        </w:tc>
      </w:tr>
    </w:tbl>
    <w:p>
      <w:pPr>
        <w:spacing w:after="0"/>
      </w:pPr>
    </w:p>
    <w:p>
      <w:pPr>
        <w:pStyle w:val="Heading1"/>
      </w:pPr>
      <w:r>
        <w:t>Sumário executivo</w:t>
      </w:r>
    </w:p>
    <w:p>
      <w:r>
        <w:rPr>
          <w:b w:val="0"/>
        </w:rPr>
        <w:t>A Nuvra adota uma abordagem baseada em risco para prevenir o uso de sua infraestrutura em lavagem de dinheiro, financiamento do terrorismo e da proliferação, fraude, corrupção, evasão de sanções, abuso de meios de pagamento e ilícitos relacionados a ativos virtuais. O modelo integra controles de entrada, permanência e saída, combinando KYC, KYB, identificação de beneficiário final, PEP e sanções, análise de mídia adversa, monitoramento transacional e blockchain, gestão de alertas, diligência reforçada e governança de reporte.</w:t>
      </w:r>
    </w:p>
    <w:p>
      <w:r>
        <w:rPr>
          <w:b w:val="0"/>
        </w:rPr>
        <w:t>A política também foi desenhada para refletir a realidade operacional da Nuvra: pagamentos Pix e cartão, transações high ticket, payouts, conversão de moeda, pagamentos internacionais, integrações com instituições financeiras e prestadores de serviços de ativos virtuais. Nenhuma funcionalidade deve ser liberada sem enquadramento de risco, controles proporcionais e definição clara sobre qual entidade é responsável pela execução regulatória e por eventual comunicação às autoridades.</w:t>
      </w:r>
    </w:p>
    <w:p>
      <w:r>
        <w:rPr>
          <w:b w:val="0"/>
        </w:rPr>
        <w:t>Na configuração documentada nesta versão, Pix, cartão e determinados repasses em BRL podem utilizar a infraestrutura Pagar.me / Stone, sempre conforme contratação e habilitação vigentes. Câmbio, remessas e ativos virtuais devem ser executados por parceiro especificamente habilitado para o respectivo serviço, sem atribuição automática de licença regulatória própria à Nuvra.</w:t>
      </w:r>
    </w:p>
    <w:p>
      <w:pPr>
        <w:pStyle w:val="Heading1"/>
      </w:pPr>
      <w:r>
        <w:t>1. Objetivo</w:t>
      </w:r>
    </w:p>
    <w:p>
      <w:r>
        <w:rPr>
          <w:b w:val="0"/>
        </w:rPr>
        <w:t>Estabelecer princípios, responsabilidades, procedimentos e controles mínimos para assegurar que a Nuvra conheça adequadamente seus clientes, usuários, representantes, beneficiários finais, parceiros e fluxos transacionais, detecte situações incompatíveis com o perfil declarado e adote resposta proporcional ao risco.</w:t>
      </w:r>
    </w:p>
    <w:p>
      <w:pPr>
        <w:pStyle w:val="ListBullet"/>
        <w:spacing w:after="40"/>
      </w:pPr>
      <w:r>
        <w:t>Prevenir, detectar, investigar e escalar indícios de lavagem de dinheiro, financiamento do terrorismo e da proliferação de armas de destruição em massa.</w:t>
      </w:r>
    </w:p>
    <w:p>
      <w:pPr>
        <w:pStyle w:val="ListBullet"/>
        <w:spacing w:after="40"/>
      </w:pPr>
      <w:r>
        <w:t>Mitigar fraude, estelionato, contas de passagem, laranjas, uso indevido de terceiros, chargeback fraudulento, abuso de Pix, cartão, payout e ativos virtuais.</w:t>
      </w:r>
    </w:p>
    <w:p>
      <w:pPr>
        <w:pStyle w:val="ListBullet"/>
        <w:spacing w:after="40"/>
      </w:pPr>
      <w:r>
        <w:t>Assegurar KYC/KYB consistente e atualizado, com identificação de administradores, procuradores e beneficiários finais.</w:t>
      </w:r>
    </w:p>
    <w:p>
      <w:pPr>
        <w:pStyle w:val="ListBullet"/>
        <w:spacing w:after="40"/>
      </w:pPr>
      <w:r>
        <w:t>Aplicar controles compatíveis com o risco de produto, cliente, canal, geografia e transação.</w:t>
      </w:r>
    </w:p>
    <w:p>
      <w:pPr>
        <w:pStyle w:val="ListBullet"/>
        <w:spacing w:after="40"/>
      </w:pPr>
      <w:r>
        <w:t>Manter evidências auditáveis e governança para decisões de aprovação, rejeição, bloqueio, limitação, revisão ou encerramento de relacionamento.</w:t>
      </w:r>
    </w:p>
    <w:p>
      <w:pPr>
        <w:pStyle w:val="Heading1"/>
      </w:pPr>
      <w:r>
        <w:t>2. Escopo e perímetro operacional</w:t>
      </w:r>
    </w:p>
    <w:p>
      <w:r>
        <w:rPr>
          <w:b w:val="0"/>
        </w:rPr>
        <w:t>Esta política se aplica a toda relação em que a Nuvra participe do fluxo de onboarding, autorização, processamento, orquestração, liquidação, payout, conversão, custódia técnica, roteamento ou monitoramento de pagamentos ou ativos virtuais, ainda que a execução financeira final ocorra por parceiro regulado.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381"/>
            <w:shd w:fill="071A52"/>
            <w:tcMar>
              <w:top w:w="90" w:type="dxa"/>
              <w:start w:w="90" w:type="dxa"/>
              <w:bottom w:w="90" w:type="dxa"/>
              <w:end w:w="90" w:type="dxa"/>
            </w:tcMar>
            <w:vAlign w:val="center"/>
          </w:tcPr>
          <w:p>
            <w:pPr>
              <w:jc w:val="left"/>
            </w:pPr>
            <w:r/>
            <w:r>
              <w:rPr>
                <w:b/>
                <w:color w:val="FFFFFF"/>
                <w:sz w:val="16"/>
              </w:rPr>
              <w:t>Componente</w:t>
            </w:r>
          </w:p>
        </w:tc>
        <w:tc>
          <w:tcPr>
            <w:tcW w:type="dxa" w:w="6690"/>
            <w:shd w:fill="071A52"/>
            <w:tcMar>
              <w:top w:w="90" w:type="dxa"/>
              <w:start w:w="90" w:type="dxa"/>
              <w:bottom w:w="90" w:type="dxa"/>
              <w:end w:w="90" w:type="dxa"/>
            </w:tcMar>
            <w:vAlign w:val="center"/>
          </w:tcPr>
          <w:p>
            <w:pPr>
              <w:jc w:val="left"/>
            </w:pPr>
            <w:r/>
            <w:r>
              <w:rPr>
                <w:b/>
                <w:color w:val="FFFFFF"/>
                <w:sz w:val="16"/>
              </w:rPr>
              <w:t>Escopo de controle Nuvra</w:t>
            </w:r>
          </w:p>
        </w:tc>
      </w:tr>
      <w:tr>
        <w:trPr>
          <w:cantSplit/>
        </w:trPr>
        <w:tc>
          <w:tcPr>
            <w:tcW w:type="dxa" w:w="2381"/>
            <w:tcMar>
              <w:top w:w="70" w:type="dxa"/>
              <w:start w:w="80" w:type="dxa"/>
              <w:bottom w:w="70" w:type="dxa"/>
              <w:end w:w="80" w:type="dxa"/>
            </w:tcMar>
            <w:vAlign w:val="top"/>
          </w:tcPr>
          <w:p>
            <w:r>
              <w:rPr>
                <w:color w:val="1C2434"/>
                <w:sz w:val="16"/>
              </w:rPr>
              <w:t>Pagamentos nacionais</w:t>
            </w:r>
          </w:p>
        </w:tc>
        <w:tc>
          <w:tcPr>
            <w:tcW w:type="dxa" w:w="6690"/>
            <w:tcMar>
              <w:top w:w="70" w:type="dxa"/>
              <w:start w:w="80" w:type="dxa"/>
              <w:bottom w:w="70" w:type="dxa"/>
              <w:end w:w="80" w:type="dxa"/>
            </w:tcMar>
            <w:vAlign w:val="top"/>
          </w:tcPr>
          <w:p>
            <w:r>
              <w:rPr>
                <w:color w:val="1C2434"/>
                <w:sz w:val="16"/>
              </w:rPr>
              <w:t>Pix, cartão, links de pagamento, checkout, subcontas, split e fluxos de recebimento ou saque.</w:t>
            </w:r>
          </w:p>
        </w:tc>
      </w:tr>
      <w:tr>
        <w:trPr>
          <w:cantSplit/>
        </w:trPr>
        <w:tc>
          <w:tcPr>
            <w:tcW w:type="dxa" w:w="2381"/>
            <w:tcMar>
              <w:top w:w="70" w:type="dxa"/>
              <w:start w:w="80" w:type="dxa"/>
              <w:bottom w:w="70" w:type="dxa"/>
              <w:end w:w="80" w:type="dxa"/>
            </w:tcMar>
            <w:shd w:fill="F8FAFD"/>
            <w:vAlign w:val="top"/>
          </w:tcPr>
          <w:p>
            <w:r>
              <w:rPr>
                <w:color w:val="1C2434"/>
                <w:sz w:val="16"/>
              </w:rPr>
              <w:t>High ticket</w:t>
            </w:r>
          </w:p>
        </w:tc>
        <w:tc>
          <w:tcPr>
            <w:tcW w:type="dxa" w:w="6690"/>
            <w:tcMar>
              <w:top w:w="70" w:type="dxa"/>
              <w:start w:w="80" w:type="dxa"/>
              <w:bottom w:w="70" w:type="dxa"/>
              <w:end w:w="80" w:type="dxa"/>
            </w:tcMar>
            <w:shd w:fill="F8FAFD"/>
            <w:vAlign w:val="top"/>
          </w:tcPr>
          <w:p>
            <w:r>
              <w:rPr>
                <w:color w:val="1C2434"/>
                <w:sz w:val="16"/>
              </w:rPr>
              <w:t>Operações de valor elevado, atípicas para o segmento ou incompatíveis com ticket, receita e histórico declarado.</w:t>
            </w:r>
          </w:p>
        </w:tc>
      </w:tr>
      <w:tr>
        <w:trPr>
          <w:cantSplit/>
        </w:trPr>
        <w:tc>
          <w:tcPr>
            <w:tcW w:type="dxa" w:w="2381"/>
            <w:tcMar>
              <w:top w:w="70" w:type="dxa"/>
              <w:start w:w="80" w:type="dxa"/>
              <w:bottom w:w="70" w:type="dxa"/>
              <w:end w:w="80" w:type="dxa"/>
            </w:tcMar>
            <w:vAlign w:val="top"/>
          </w:tcPr>
          <w:p>
            <w:r>
              <w:rPr>
                <w:color w:val="1C2434"/>
                <w:sz w:val="16"/>
              </w:rPr>
              <w:t>Payouts</w:t>
            </w:r>
          </w:p>
        </w:tc>
        <w:tc>
          <w:tcPr>
            <w:tcW w:type="dxa" w:w="6690"/>
            <w:tcMar>
              <w:top w:w="70" w:type="dxa"/>
              <w:start w:w="80" w:type="dxa"/>
              <w:bottom w:w="70" w:type="dxa"/>
              <w:end w:w="80" w:type="dxa"/>
            </w:tcMar>
            <w:vAlign w:val="top"/>
          </w:tcPr>
          <w:p>
            <w:r>
              <w:rPr>
                <w:color w:val="1C2434"/>
                <w:sz w:val="16"/>
              </w:rPr>
              <w:t>Pagamentos a clientes, fornecedores, afiliados, vendedores, beneficiários ou carteiras, com validação de destino e fundamento econômico.</w:t>
            </w:r>
          </w:p>
        </w:tc>
      </w:tr>
      <w:tr>
        <w:trPr>
          <w:cantSplit/>
        </w:trPr>
        <w:tc>
          <w:tcPr>
            <w:tcW w:type="dxa" w:w="2381"/>
            <w:tcMar>
              <w:top w:w="70" w:type="dxa"/>
              <w:start w:w="80" w:type="dxa"/>
              <w:bottom w:w="70" w:type="dxa"/>
              <w:end w:w="80" w:type="dxa"/>
            </w:tcMar>
            <w:shd w:fill="F8FAFD"/>
            <w:vAlign w:val="top"/>
          </w:tcPr>
          <w:p>
            <w:r>
              <w:rPr>
                <w:color w:val="1C2434"/>
                <w:sz w:val="16"/>
              </w:rPr>
              <w:t>Internacional</w:t>
            </w:r>
          </w:p>
        </w:tc>
        <w:tc>
          <w:tcPr>
            <w:tcW w:type="dxa" w:w="6690"/>
            <w:tcMar>
              <w:top w:w="70" w:type="dxa"/>
              <w:start w:w="80" w:type="dxa"/>
              <w:bottom w:w="70" w:type="dxa"/>
              <w:end w:w="80" w:type="dxa"/>
            </w:tcMar>
            <w:shd w:fill="F8FAFD"/>
            <w:vAlign w:val="top"/>
          </w:tcPr>
          <w:p>
            <w:r>
              <w:rPr>
                <w:color w:val="1C2434"/>
                <w:sz w:val="16"/>
              </w:rPr>
              <w:t>Conversão de moedas, remessas, recebimentos e liquidações transfronteiriças por parceiros autorizados.</w:t>
            </w:r>
          </w:p>
        </w:tc>
      </w:tr>
      <w:tr>
        <w:trPr>
          <w:cantSplit/>
        </w:trPr>
        <w:tc>
          <w:tcPr>
            <w:tcW w:type="dxa" w:w="2381"/>
            <w:tcMar>
              <w:top w:w="70" w:type="dxa"/>
              <w:start w:w="80" w:type="dxa"/>
              <w:bottom w:w="70" w:type="dxa"/>
              <w:end w:w="80" w:type="dxa"/>
            </w:tcMar>
            <w:vAlign w:val="top"/>
          </w:tcPr>
          <w:p>
            <w:r>
              <w:rPr>
                <w:color w:val="1C2434"/>
                <w:sz w:val="16"/>
              </w:rPr>
              <w:t>Ativos virtuais</w:t>
            </w:r>
          </w:p>
        </w:tc>
        <w:tc>
          <w:tcPr>
            <w:tcW w:type="dxa" w:w="6690"/>
            <w:tcMar>
              <w:top w:w="70" w:type="dxa"/>
              <w:start w:w="80" w:type="dxa"/>
              <w:bottom w:w="70" w:type="dxa"/>
              <w:end w:w="80" w:type="dxa"/>
            </w:tcMar>
            <w:vAlign w:val="top"/>
          </w:tcPr>
          <w:p>
            <w:r>
              <w:rPr>
                <w:color w:val="1C2434"/>
                <w:sz w:val="16"/>
              </w:rPr>
              <w:t>Compra, venda, troca, transferência, liquidação, conversão e payouts em cripto quando executados diretamente ou por PSAV parceira.</w:t>
            </w:r>
          </w:p>
        </w:tc>
      </w:tr>
      <w:tr>
        <w:trPr>
          <w:cantSplit/>
        </w:trPr>
        <w:tc>
          <w:tcPr>
            <w:tcW w:type="dxa" w:w="2381"/>
            <w:tcMar>
              <w:top w:w="70" w:type="dxa"/>
              <w:start w:w="80" w:type="dxa"/>
              <w:bottom w:w="70" w:type="dxa"/>
              <w:end w:w="80" w:type="dxa"/>
            </w:tcMar>
            <w:shd w:fill="F8FAFD"/>
            <w:vAlign w:val="top"/>
          </w:tcPr>
          <w:p>
            <w:r>
              <w:rPr>
                <w:color w:val="1C2434"/>
                <w:sz w:val="16"/>
              </w:rPr>
              <w:t>Parceiros</w:t>
            </w:r>
          </w:p>
        </w:tc>
        <w:tc>
          <w:tcPr>
            <w:tcW w:type="dxa" w:w="6690"/>
            <w:tcMar>
              <w:top w:w="70" w:type="dxa"/>
              <w:start w:w="80" w:type="dxa"/>
              <w:bottom w:w="70" w:type="dxa"/>
              <w:end w:w="80" w:type="dxa"/>
            </w:tcMar>
            <w:shd w:fill="F8FAFD"/>
            <w:vAlign w:val="top"/>
          </w:tcPr>
          <w:p>
            <w:r>
              <w:rPr>
                <w:color w:val="1C2434"/>
                <w:sz w:val="16"/>
              </w:rPr>
              <w:t>Adquirentes, bancos, instituições de pagamento, PSAVs, provedores KYC, antifraude, blockchain analytics, adquirência internacional e infraestrutura crítica.</w:t>
            </w:r>
          </w:p>
        </w:tc>
      </w:tr>
    </w:tbl>
    <w:p>
      <w:pPr>
        <w:spacing w:after="0"/>
      </w:pPr>
    </w:p>
    <w:tbl>
      <w:tblPr>
        <w:tblW w:type="auto" w:w="0"/>
        <w:jc w:val="center"/>
        <w:tblLook w:firstColumn="1" w:firstRow="1" w:lastColumn="0" w:lastRow="0" w:noHBand="0" w:noVBand="1" w:val="04A0"/>
      </w:tblPr>
      <w:tblGrid>
        <w:gridCol w:w="9972"/>
      </w:tblGrid>
      <w:tr>
        <w:tc>
          <w:tcPr>
            <w:tcW w:type="dxa" w:w="9972"/>
            <w:shd w:fill="EEF4FF"/>
            <w:tcMar>
              <w:top w:w="130" w:type="dxa"/>
              <w:start w:w="140" w:type="dxa"/>
              <w:bottom w:w="130" w:type="dxa"/>
              <w:end w:w="140" w:type="dxa"/>
            </w:tcMar>
          </w:tcPr>
          <w:p>
            <w:r>
              <w:rPr>
                <w:b/>
                <w:color w:val="0A2B7A"/>
                <w:sz w:val="19"/>
              </w:rPr>
              <w:t>Regra de perímetro</w:t>
              <w:br/>
            </w:r>
            <w:r>
              <w:rPr>
                <w:color w:val="1C2434"/>
                <w:sz w:val="17"/>
              </w:rPr>
              <w:t>Sempre que a Nuvra atuar apenas como camada tecnológica ou comercial, as obrigações regulatórias da instituição executora não são transferidas automaticamente à Nuvra. Ainda assim, a Nuvra deve aplicar controles internos compatíveis com o risco, cooperar contratualmente com o parceiro regulado e manter evidências suficientes para auditoria e investigação.</w:t>
            </w:r>
          </w:p>
        </w:tc>
      </w:tr>
    </w:tbl>
    <w:p>
      <w:pPr>
        <w:spacing w:after="0"/>
      </w:pPr>
    </w:p>
    <w:p>
      <w:pPr>
        <w:pStyle w:val="Heading1"/>
      </w:pPr>
      <w:r>
        <w:t>3. Referências legais e regulatórias</w:t>
      </w:r>
    </w:p>
    <w:p>
      <w:pPr>
        <w:pStyle w:val="ListBullet"/>
        <w:spacing w:after="40"/>
      </w:pPr>
      <w:r>
        <w:t>Lei nº 9.613/1998, com alterações posteriores, sobre prevenção à lavagem de dinheiro, identificação de clientes, manutenção de registros e comunicações de operações suspeitas.</w:t>
      </w:r>
    </w:p>
    <w:p>
      <w:pPr>
        <w:pStyle w:val="ListBullet"/>
        <w:spacing w:after="40"/>
      </w:pPr>
      <w:r>
        <w:t>Lei nº 14.478/2022, marco legal dos ativos virtuais, incluindo abordagem baseada em risco, segurança da informação, proteção de dados, governança e PLD/FTP.</w:t>
      </w:r>
    </w:p>
    <w:p>
      <w:pPr>
        <w:pStyle w:val="ListBullet"/>
        <w:spacing w:after="40"/>
      </w:pPr>
      <w:r>
        <w:t>Resoluções BCB nº 519, 520 e 521, de 10/11/2025, e alterações posteriores, relativas à autorização e funcionamento de prestadoras de serviços de ativos virtuais e ao tratamento de determinadas operações no mercado de câmbio e capitais internacionais.</w:t>
      </w:r>
    </w:p>
    <w:p>
      <w:pPr>
        <w:pStyle w:val="ListBullet"/>
        <w:spacing w:after="40"/>
      </w:pPr>
      <w:r>
        <w:t>Circular BCB nº 3.978/2020, com alterações posteriores, como referência de melhores práticas para política de PLD/FT, avaliação interna de risco, KYC, monitoramento, análise e comunicação.</w:t>
      </w:r>
    </w:p>
    <w:p>
      <w:pPr>
        <w:pStyle w:val="ListBullet"/>
        <w:spacing w:after="40"/>
      </w:pPr>
      <w:r>
        <w:t>Carta Circular BCB nº 4.001/2020 e atos substitutos ou complementares, como referência de situações e operações com indícios de LD/FT.</w:t>
      </w:r>
    </w:p>
    <w:p>
      <w:pPr>
        <w:pStyle w:val="ListBullet"/>
        <w:spacing w:after="40"/>
      </w:pPr>
      <w:r>
        <w:t>Resolução BCB nº 96/2021, com alterações posteriores, quando aplicável a contas de pagamento gerenciadas por instituição autorizada.</w:t>
      </w:r>
    </w:p>
    <w:p>
      <w:pPr>
        <w:pStyle w:val="ListBullet"/>
        <w:spacing w:after="40"/>
      </w:pPr>
      <w:r>
        <w:t>Resolução BCB nº 142/2021, com alterações posteriores, como referência de prevenção a fraudes na prestação de serviços de pagamento.</w:t>
      </w:r>
    </w:p>
    <w:p>
      <w:pPr>
        <w:pStyle w:val="ListBullet"/>
        <w:spacing w:after="40"/>
      </w:pPr>
      <w:r>
        <w:t>Lei nº 13.810/2019 e Decreto nº 9.825/2019, sobre cumprimento de sanções do Conselho de Segurança das Nações Unidas e indisponibilidade de ativos.</w:t>
      </w:r>
    </w:p>
    <w:p>
      <w:pPr>
        <w:pStyle w:val="ListBullet"/>
        <w:spacing w:after="40"/>
      </w:pPr>
      <w:r>
        <w:t>Lei nº 13.709/2018, LGPD, e normas da ANPD aplicáveis ao tratamento, segurança e governança de dados pessoais.</w:t>
      </w:r>
    </w:p>
    <w:p>
      <w:pPr>
        <w:pStyle w:val="ListBullet"/>
        <w:spacing w:after="40"/>
      </w:pPr>
      <w:r>
        <w:t>Normas da Receita Federal sobre CNPJ e beneficiário final, incluindo a IN RFB nº 2.119/2022 e alterações posteriores.</w:t>
      </w:r>
    </w:p>
    <w:p>
      <w:pPr>
        <w:pStyle w:val="Heading1"/>
      </w:pPr>
      <w:r>
        <w:t>4. Princípios</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381"/>
            <w:shd w:fill="071A52"/>
            <w:tcMar>
              <w:top w:w="90" w:type="dxa"/>
              <w:start w:w="90" w:type="dxa"/>
              <w:bottom w:w="90" w:type="dxa"/>
              <w:end w:w="90" w:type="dxa"/>
            </w:tcMar>
            <w:vAlign w:val="center"/>
          </w:tcPr>
          <w:p>
            <w:pPr>
              <w:jc w:val="left"/>
            </w:pPr>
            <w:r/>
            <w:r>
              <w:rPr>
                <w:b/>
                <w:color w:val="FFFFFF"/>
                <w:sz w:val="16"/>
              </w:rPr>
              <w:t>Princípio</w:t>
            </w:r>
          </w:p>
        </w:tc>
        <w:tc>
          <w:tcPr>
            <w:tcW w:type="dxa" w:w="6690"/>
            <w:shd w:fill="071A52"/>
            <w:tcMar>
              <w:top w:w="90" w:type="dxa"/>
              <w:start w:w="90" w:type="dxa"/>
              <w:bottom w:w="90" w:type="dxa"/>
              <w:end w:w="90" w:type="dxa"/>
            </w:tcMar>
            <w:vAlign w:val="center"/>
          </w:tcPr>
          <w:p>
            <w:pPr>
              <w:jc w:val="left"/>
            </w:pPr>
            <w:r/>
            <w:r>
              <w:rPr>
                <w:b/>
                <w:color w:val="FFFFFF"/>
                <w:sz w:val="16"/>
              </w:rPr>
              <w:t>Aplicação prática</w:t>
            </w:r>
          </w:p>
        </w:tc>
      </w:tr>
      <w:tr>
        <w:trPr>
          <w:cantSplit/>
        </w:trPr>
        <w:tc>
          <w:tcPr>
            <w:tcW w:type="dxa" w:w="2381"/>
            <w:tcMar>
              <w:top w:w="70" w:type="dxa"/>
              <w:start w:w="80" w:type="dxa"/>
              <w:bottom w:w="70" w:type="dxa"/>
              <w:end w:w="80" w:type="dxa"/>
            </w:tcMar>
            <w:vAlign w:val="top"/>
          </w:tcPr>
          <w:p>
            <w:r>
              <w:rPr>
                <w:color w:val="1C2434"/>
                <w:sz w:val="16"/>
              </w:rPr>
              <w:t>Abordagem baseada em risco</w:t>
            </w:r>
          </w:p>
        </w:tc>
        <w:tc>
          <w:tcPr>
            <w:tcW w:type="dxa" w:w="6690"/>
            <w:tcMar>
              <w:top w:w="70" w:type="dxa"/>
              <w:start w:w="80" w:type="dxa"/>
              <w:bottom w:w="70" w:type="dxa"/>
              <w:end w:w="80" w:type="dxa"/>
            </w:tcMar>
            <w:vAlign w:val="top"/>
          </w:tcPr>
          <w:p>
            <w:r>
              <w:rPr>
                <w:color w:val="1C2434"/>
                <w:sz w:val="16"/>
              </w:rPr>
              <w:t>Quanto maior o risco, maior a profundidade da diligência, frequência de revisão e intensidade do monitoramento.</w:t>
            </w:r>
          </w:p>
        </w:tc>
      </w:tr>
      <w:tr>
        <w:trPr>
          <w:cantSplit/>
        </w:trPr>
        <w:tc>
          <w:tcPr>
            <w:tcW w:type="dxa" w:w="2381"/>
            <w:tcMar>
              <w:top w:w="70" w:type="dxa"/>
              <w:start w:w="80" w:type="dxa"/>
              <w:bottom w:w="70" w:type="dxa"/>
              <w:end w:w="80" w:type="dxa"/>
            </w:tcMar>
            <w:shd w:fill="F8FAFD"/>
            <w:vAlign w:val="top"/>
          </w:tcPr>
          <w:p>
            <w:r>
              <w:rPr>
                <w:color w:val="1C2434"/>
                <w:sz w:val="16"/>
              </w:rPr>
              <w:t>Conheça quem usa a infraestrutura</w:t>
            </w:r>
          </w:p>
        </w:tc>
        <w:tc>
          <w:tcPr>
            <w:tcW w:type="dxa" w:w="6690"/>
            <w:tcMar>
              <w:top w:w="70" w:type="dxa"/>
              <w:start w:w="80" w:type="dxa"/>
              <w:bottom w:w="70" w:type="dxa"/>
              <w:end w:w="80" w:type="dxa"/>
            </w:tcMar>
            <w:shd w:fill="F8FAFD"/>
            <w:vAlign w:val="top"/>
          </w:tcPr>
          <w:p>
            <w:r>
              <w:rPr>
                <w:color w:val="1C2434"/>
                <w:sz w:val="16"/>
              </w:rPr>
              <w:t>Nenhuma relação relevante deve permanecer anônima ou sem vínculo econômico verificável.</w:t>
            </w:r>
          </w:p>
        </w:tc>
      </w:tr>
      <w:tr>
        <w:trPr>
          <w:cantSplit/>
        </w:trPr>
        <w:tc>
          <w:tcPr>
            <w:tcW w:type="dxa" w:w="2381"/>
            <w:tcMar>
              <w:top w:w="70" w:type="dxa"/>
              <w:start w:w="80" w:type="dxa"/>
              <w:bottom w:w="70" w:type="dxa"/>
              <w:end w:w="80" w:type="dxa"/>
            </w:tcMar>
            <w:vAlign w:val="top"/>
          </w:tcPr>
          <w:p>
            <w:r>
              <w:rPr>
                <w:color w:val="1C2434"/>
                <w:sz w:val="16"/>
              </w:rPr>
              <w:t>Coerência econômica</w:t>
            </w:r>
          </w:p>
        </w:tc>
        <w:tc>
          <w:tcPr>
            <w:tcW w:type="dxa" w:w="6690"/>
            <w:tcMar>
              <w:top w:w="70" w:type="dxa"/>
              <w:start w:w="80" w:type="dxa"/>
              <w:bottom w:w="70" w:type="dxa"/>
              <w:end w:w="80" w:type="dxa"/>
            </w:tcMar>
            <w:vAlign w:val="top"/>
          </w:tcPr>
          <w:p>
            <w:r>
              <w:rPr>
                <w:color w:val="1C2434"/>
                <w:sz w:val="16"/>
              </w:rPr>
              <w:t>A origem, destino, finalidade, ticket, volume e frequência devem ser compatíveis com o negócio e a capacidade financeira declarada.</w:t>
            </w:r>
          </w:p>
        </w:tc>
      </w:tr>
      <w:tr>
        <w:trPr>
          <w:cantSplit/>
        </w:trPr>
        <w:tc>
          <w:tcPr>
            <w:tcW w:type="dxa" w:w="2381"/>
            <w:tcMar>
              <w:top w:w="70" w:type="dxa"/>
              <w:start w:w="80" w:type="dxa"/>
              <w:bottom w:w="70" w:type="dxa"/>
              <w:end w:w="80" w:type="dxa"/>
            </w:tcMar>
            <w:shd w:fill="F8FAFD"/>
            <w:vAlign w:val="top"/>
          </w:tcPr>
          <w:p>
            <w:r>
              <w:rPr>
                <w:color w:val="1C2434"/>
                <w:sz w:val="16"/>
              </w:rPr>
              <w:t>Segregação de funções</w:t>
            </w:r>
          </w:p>
        </w:tc>
        <w:tc>
          <w:tcPr>
            <w:tcW w:type="dxa" w:w="6690"/>
            <w:tcMar>
              <w:top w:w="70" w:type="dxa"/>
              <w:start w:w="80" w:type="dxa"/>
              <w:bottom w:w="70" w:type="dxa"/>
              <w:end w:w="80" w:type="dxa"/>
            </w:tcMar>
            <w:shd w:fill="F8FAFD"/>
            <w:vAlign w:val="top"/>
          </w:tcPr>
          <w:p>
            <w:r>
              <w:rPr>
                <w:color w:val="1C2434"/>
                <w:sz w:val="16"/>
              </w:rPr>
              <w:t>Comercial não aprova sozinho exceções de Compliance. Casos de alto risco exigem decisão independente.</w:t>
            </w:r>
          </w:p>
        </w:tc>
      </w:tr>
      <w:tr>
        <w:trPr>
          <w:cantSplit/>
        </w:trPr>
        <w:tc>
          <w:tcPr>
            <w:tcW w:type="dxa" w:w="2381"/>
            <w:tcMar>
              <w:top w:w="70" w:type="dxa"/>
              <w:start w:w="80" w:type="dxa"/>
              <w:bottom w:w="70" w:type="dxa"/>
              <w:end w:w="80" w:type="dxa"/>
            </w:tcMar>
            <w:vAlign w:val="top"/>
          </w:tcPr>
          <w:p>
            <w:r>
              <w:rPr>
                <w:color w:val="1C2434"/>
                <w:sz w:val="16"/>
              </w:rPr>
              <w:t>Rastreabilidade</w:t>
            </w:r>
          </w:p>
        </w:tc>
        <w:tc>
          <w:tcPr>
            <w:tcW w:type="dxa" w:w="6690"/>
            <w:tcMar>
              <w:top w:w="70" w:type="dxa"/>
              <w:start w:w="80" w:type="dxa"/>
              <w:bottom w:w="70" w:type="dxa"/>
              <w:end w:w="80" w:type="dxa"/>
            </w:tcMar>
            <w:vAlign w:val="top"/>
          </w:tcPr>
          <w:p>
            <w:r>
              <w:rPr>
                <w:color w:val="1C2434"/>
                <w:sz w:val="16"/>
              </w:rPr>
              <w:t>Toda decisão material deve possuir evidência, autor, data, justificativa, documentos e trilha de auditoria.</w:t>
            </w:r>
          </w:p>
        </w:tc>
      </w:tr>
      <w:tr>
        <w:trPr>
          <w:cantSplit/>
        </w:trPr>
        <w:tc>
          <w:tcPr>
            <w:tcW w:type="dxa" w:w="2381"/>
            <w:tcMar>
              <w:top w:w="70" w:type="dxa"/>
              <w:start w:w="80" w:type="dxa"/>
              <w:bottom w:w="70" w:type="dxa"/>
              <w:end w:w="80" w:type="dxa"/>
            </w:tcMar>
            <w:shd w:fill="F8FAFD"/>
            <w:vAlign w:val="top"/>
          </w:tcPr>
          <w:p>
            <w:r>
              <w:rPr>
                <w:color w:val="1C2434"/>
                <w:sz w:val="16"/>
              </w:rPr>
              <w:t>Não facilitação</w:t>
            </w:r>
          </w:p>
        </w:tc>
        <w:tc>
          <w:tcPr>
            <w:tcW w:type="dxa" w:w="6690"/>
            <w:tcMar>
              <w:top w:w="70" w:type="dxa"/>
              <w:start w:w="80" w:type="dxa"/>
              <w:bottom w:w="70" w:type="dxa"/>
              <w:end w:w="80" w:type="dxa"/>
            </w:tcMar>
            <w:shd w:fill="F8FAFD"/>
            <w:vAlign w:val="top"/>
          </w:tcPr>
          <w:p>
            <w:r>
              <w:rPr>
                <w:color w:val="1C2434"/>
                <w:sz w:val="16"/>
              </w:rPr>
              <w:t>Crescimento, receita ou urgência comercial não justificam flexibilização de controles obrigatórios.</w:t>
            </w:r>
          </w:p>
        </w:tc>
      </w:tr>
      <w:tr>
        <w:trPr>
          <w:cantSplit/>
        </w:trPr>
        <w:tc>
          <w:tcPr>
            <w:tcW w:type="dxa" w:w="2381"/>
            <w:tcMar>
              <w:top w:w="70" w:type="dxa"/>
              <w:start w:w="80" w:type="dxa"/>
              <w:bottom w:w="70" w:type="dxa"/>
              <w:end w:w="80" w:type="dxa"/>
            </w:tcMar>
            <w:vAlign w:val="top"/>
          </w:tcPr>
          <w:p>
            <w:r>
              <w:rPr>
                <w:color w:val="1C2434"/>
                <w:sz w:val="16"/>
              </w:rPr>
              <w:t>Privacidade e minimização</w:t>
            </w:r>
          </w:p>
        </w:tc>
        <w:tc>
          <w:tcPr>
            <w:tcW w:type="dxa" w:w="6690"/>
            <w:tcMar>
              <w:top w:w="70" w:type="dxa"/>
              <w:start w:w="80" w:type="dxa"/>
              <w:bottom w:w="70" w:type="dxa"/>
              <w:end w:w="80" w:type="dxa"/>
            </w:tcMar>
            <w:vAlign w:val="top"/>
          </w:tcPr>
          <w:p>
            <w:r>
              <w:rPr>
                <w:color w:val="1C2434"/>
                <w:sz w:val="16"/>
              </w:rPr>
              <w:t>Coletar apenas dados necessários, protegê-los e definir bases legais, retenção e acessos.</w:t>
            </w:r>
          </w:p>
        </w:tc>
      </w:tr>
      <w:tr>
        <w:trPr>
          <w:cantSplit/>
        </w:trPr>
        <w:tc>
          <w:tcPr>
            <w:tcW w:type="dxa" w:w="2381"/>
            <w:tcMar>
              <w:top w:w="70" w:type="dxa"/>
              <w:start w:w="80" w:type="dxa"/>
              <w:bottom w:w="70" w:type="dxa"/>
              <w:end w:w="80" w:type="dxa"/>
            </w:tcMar>
            <w:shd w:fill="F8FAFD"/>
            <w:vAlign w:val="top"/>
          </w:tcPr>
          <w:p>
            <w:r>
              <w:rPr>
                <w:color w:val="1C2434"/>
                <w:sz w:val="16"/>
              </w:rPr>
              <w:t>Proporcionalidade</w:t>
            </w:r>
          </w:p>
        </w:tc>
        <w:tc>
          <w:tcPr>
            <w:tcW w:type="dxa" w:w="6690"/>
            <w:tcMar>
              <w:top w:w="70" w:type="dxa"/>
              <w:start w:w="80" w:type="dxa"/>
              <w:bottom w:w="70" w:type="dxa"/>
              <w:end w:w="80" w:type="dxa"/>
            </w:tcMar>
            <w:shd w:fill="F8FAFD"/>
            <w:vAlign w:val="top"/>
          </w:tcPr>
          <w:p>
            <w:r>
              <w:rPr>
                <w:color w:val="1C2434"/>
                <w:sz w:val="16"/>
              </w:rPr>
              <w:t>Fricção operacional deve ser calibrada ao risco real, evitando controles genéricos sem efetividade.</w:t>
            </w:r>
          </w:p>
        </w:tc>
      </w:tr>
    </w:tbl>
    <w:p>
      <w:pPr>
        <w:spacing w:after="0"/>
      </w:pPr>
    </w:p>
    <w:p>
      <w:pPr>
        <w:pStyle w:val="Heading1"/>
      </w:pPr>
      <w:r>
        <w:t>5. Governança e responsabilidades</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494"/>
            <w:shd w:fill="071A52"/>
            <w:tcMar>
              <w:top w:w="90" w:type="dxa"/>
              <w:start w:w="90" w:type="dxa"/>
              <w:bottom w:w="90" w:type="dxa"/>
              <w:end w:w="90" w:type="dxa"/>
            </w:tcMar>
            <w:vAlign w:val="center"/>
          </w:tcPr>
          <w:p>
            <w:pPr>
              <w:jc w:val="left"/>
            </w:pPr>
            <w:r/>
            <w:r>
              <w:rPr>
                <w:b/>
                <w:color w:val="FFFFFF"/>
                <w:sz w:val="16"/>
              </w:rPr>
              <w:t>Função</w:t>
            </w:r>
          </w:p>
        </w:tc>
        <w:tc>
          <w:tcPr>
            <w:tcW w:type="dxa" w:w="6576"/>
            <w:shd w:fill="071A52"/>
            <w:tcMar>
              <w:top w:w="90" w:type="dxa"/>
              <w:start w:w="90" w:type="dxa"/>
              <w:bottom w:w="90" w:type="dxa"/>
              <w:end w:w="90" w:type="dxa"/>
            </w:tcMar>
            <w:vAlign w:val="center"/>
          </w:tcPr>
          <w:p>
            <w:pPr>
              <w:jc w:val="left"/>
            </w:pPr>
            <w:r/>
            <w:r>
              <w:rPr>
                <w:b/>
                <w:color w:val="FFFFFF"/>
                <w:sz w:val="16"/>
              </w:rPr>
              <w:t>Responsabilidades mínimas</w:t>
            </w:r>
          </w:p>
        </w:tc>
      </w:tr>
      <w:tr>
        <w:trPr>
          <w:cantSplit/>
        </w:trPr>
        <w:tc>
          <w:tcPr>
            <w:tcW w:type="dxa" w:w="2494"/>
            <w:tcMar>
              <w:top w:w="70" w:type="dxa"/>
              <w:start w:w="80" w:type="dxa"/>
              <w:bottom w:w="70" w:type="dxa"/>
              <w:end w:w="80" w:type="dxa"/>
            </w:tcMar>
            <w:vAlign w:val="top"/>
          </w:tcPr>
          <w:p>
            <w:r>
              <w:rPr>
                <w:color w:val="1C2434"/>
                <w:sz w:val="16"/>
              </w:rPr>
              <w:t>Diretoria / Administração</w:t>
            </w:r>
          </w:p>
        </w:tc>
        <w:tc>
          <w:tcPr>
            <w:tcW w:type="dxa" w:w="6576"/>
            <w:tcMar>
              <w:top w:w="70" w:type="dxa"/>
              <w:start w:w="80" w:type="dxa"/>
              <w:bottom w:w="70" w:type="dxa"/>
              <w:end w:w="80" w:type="dxa"/>
            </w:tcMar>
            <w:vAlign w:val="top"/>
          </w:tcPr>
          <w:p>
            <w:r>
              <w:rPr>
                <w:color w:val="1C2434"/>
                <w:sz w:val="16"/>
              </w:rPr>
              <w:t>Aprovar política, apetite de risco, recursos, exceções relevantes e avaliação anual de efetividade.</w:t>
            </w:r>
          </w:p>
        </w:tc>
      </w:tr>
      <w:tr>
        <w:trPr>
          <w:cantSplit/>
        </w:trPr>
        <w:tc>
          <w:tcPr>
            <w:tcW w:type="dxa" w:w="2494"/>
            <w:tcMar>
              <w:top w:w="70" w:type="dxa"/>
              <w:start w:w="80" w:type="dxa"/>
              <w:bottom w:w="70" w:type="dxa"/>
              <w:end w:w="80" w:type="dxa"/>
            </w:tcMar>
            <w:shd w:fill="F8FAFD"/>
            <w:vAlign w:val="top"/>
          </w:tcPr>
          <w:p>
            <w:r>
              <w:rPr>
                <w:color w:val="1C2434"/>
                <w:sz w:val="16"/>
              </w:rPr>
              <w:t>Responsável por Compliance/PLD</w:t>
            </w:r>
          </w:p>
        </w:tc>
        <w:tc>
          <w:tcPr>
            <w:tcW w:type="dxa" w:w="6576"/>
            <w:tcMar>
              <w:top w:w="70" w:type="dxa"/>
              <w:start w:w="80" w:type="dxa"/>
              <w:bottom w:w="70" w:type="dxa"/>
              <w:end w:w="80" w:type="dxa"/>
            </w:tcMar>
            <w:shd w:fill="F8FAFD"/>
            <w:vAlign w:val="top"/>
          </w:tcPr>
          <w:p>
            <w:r>
              <w:rPr>
                <w:color w:val="1C2434"/>
                <w:sz w:val="16"/>
              </w:rPr>
              <w:t>Independência funcional, AIR, regras KYC/KYB, monitoramento, EDD, investigações, reporte e interface com parceiros e autoridades.</w:t>
            </w:r>
          </w:p>
        </w:tc>
      </w:tr>
      <w:tr>
        <w:trPr>
          <w:cantSplit/>
        </w:trPr>
        <w:tc>
          <w:tcPr>
            <w:tcW w:type="dxa" w:w="2494"/>
            <w:tcMar>
              <w:top w:w="70" w:type="dxa"/>
              <w:start w:w="80" w:type="dxa"/>
              <w:bottom w:w="70" w:type="dxa"/>
              <w:end w:w="80" w:type="dxa"/>
            </w:tcMar>
            <w:vAlign w:val="top"/>
          </w:tcPr>
          <w:p>
            <w:r>
              <w:rPr>
                <w:color w:val="1C2434"/>
                <w:sz w:val="16"/>
              </w:rPr>
              <w:t>Risco/Fraude</w:t>
            </w:r>
          </w:p>
        </w:tc>
        <w:tc>
          <w:tcPr>
            <w:tcW w:type="dxa" w:w="6576"/>
            <w:tcMar>
              <w:top w:w="70" w:type="dxa"/>
              <w:start w:w="80" w:type="dxa"/>
              <w:bottom w:w="70" w:type="dxa"/>
              <w:end w:w="80" w:type="dxa"/>
            </w:tcMar>
            <w:vAlign w:val="top"/>
          </w:tcPr>
          <w:p>
            <w:r>
              <w:rPr>
                <w:color w:val="1C2434"/>
                <w:sz w:val="16"/>
              </w:rPr>
              <w:t>Regras antifraude, prevenção de abuso de conta, dispositivos, comportamento e coordenação com Compliance.</w:t>
            </w:r>
          </w:p>
        </w:tc>
      </w:tr>
      <w:tr>
        <w:trPr>
          <w:cantSplit/>
        </w:trPr>
        <w:tc>
          <w:tcPr>
            <w:tcW w:type="dxa" w:w="2494"/>
            <w:tcMar>
              <w:top w:w="70" w:type="dxa"/>
              <w:start w:w="80" w:type="dxa"/>
              <w:bottom w:w="70" w:type="dxa"/>
              <w:end w:w="80" w:type="dxa"/>
            </w:tcMar>
            <w:shd w:fill="F8FAFD"/>
            <w:vAlign w:val="top"/>
          </w:tcPr>
          <w:p>
            <w:r>
              <w:rPr>
                <w:color w:val="1C2434"/>
                <w:sz w:val="16"/>
              </w:rPr>
              <w:t>Comercial/CS</w:t>
            </w:r>
          </w:p>
        </w:tc>
        <w:tc>
          <w:tcPr>
            <w:tcW w:type="dxa" w:w="6576"/>
            <w:tcMar>
              <w:top w:w="70" w:type="dxa"/>
              <w:start w:w="80" w:type="dxa"/>
              <w:bottom w:w="70" w:type="dxa"/>
              <w:end w:w="80" w:type="dxa"/>
            </w:tcMar>
            <w:shd w:fill="F8FAFD"/>
            <w:vAlign w:val="top"/>
          </w:tcPr>
          <w:p>
            <w:r>
              <w:rPr>
                <w:color w:val="1C2434"/>
                <w:sz w:val="16"/>
              </w:rPr>
              <w:t>Coletar informações verdadeiras, não prometer aprovação, não orientar cliente a contornar controles e comunicar red flags.</w:t>
            </w:r>
          </w:p>
        </w:tc>
      </w:tr>
      <w:tr>
        <w:trPr>
          <w:cantSplit/>
        </w:trPr>
        <w:tc>
          <w:tcPr>
            <w:tcW w:type="dxa" w:w="2494"/>
            <w:tcMar>
              <w:top w:w="70" w:type="dxa"/>
              <w:start w:w="80" w:type="dxa"/>
              <w:bottom w:w="70" w:type="dxa"/>
              <w:end w:w="80" w:type="dxa"/>
            </w:tcMar>
            <w:vAlign w:val="top"/>
          </w:tcPr>
          <w:p>
            <w:r>
              <w:rPr>
                <w:color w:val="1C2434"/>
                <w:sz w:val="16"/>
              </w:rPr>
              <w:t>Produto/Tecnologia</w:t>
            </w:r>
          </w:p>
        </w:tc>
        <w:tc>
          <w:tcPr>
            <w:tcW w:type="dxa" w:w="6576"/>
            <w:tcMar>
              <w:top w:w="70" w:type="dxa"/>
              <w:start w:w="80" w:type="dxa"/>
              <w:bottom w:w="70" w:type="dxa"/>
              <w:end w:w="80" w:type="dxa"/>
            </w:tcMar>
            <w:vAlign w:val="top"/>
          </w:tcPr>
          <w:p>
            <w:r>
              <w:rPr>
                <w:color w:val="1C2434"/>
                <w:sz w:val="16"/>
              </w:rPr>
              <w:t>Implementar bloqueios, logs, trilhas, parâmetros, controles de acesso e integrações necessárias.</w:t>
            </w:r>
          </w:p>
        </w:tc>
      </w:tr>
      <w:tr>
        <w:trPr>
          <w:cantSplit/>
        </w:trPr>
        <w:tc>
          <w:tcPr>
            <w:tcW w:type="dxa" w:w="2494"/>
            <w:tcMar>
              <w:top w:w="70" w:type="dxa"/>
              <w:start w:w="80" w:type="dxa"/>
              <w:bottom w:w="70" w:type="dxa"/>
              <w:end w:w="80" w:type="dxa"/>
            </w:tcMar>
            <w:shd w:fill="F8FAFD"/>
            <w:vAlign w:val="top"/>
          </w:tcPr>
          <w:p>
            <w:r>
              <w:rPr>
                <w:color w:val="1C2434"/>
                <w:sz w:val="16"/>
              </w:rPr>
              <w:t>Jurídico</w:t>
            </w:r>
          </w:p>
        </w:tc>
        <w:tc>
          <w:tcPr>
            <w:tcW w:type="dxa" w:w="6576"/>
            <w:tcMar>
              <w:top w:w="70" w:type="dxa"/>
              <w:start w:w="80" w:type="dxa"/>
              <w:bottom w:w="70" w:type="dxa"/>
              <w:end w:w="80" w:type="dxa"/>
            </w:tcMar>
            <w:shd w:fill="F8FAFD"/>
            <w:vAlign w:val="top"/>
          </w:tcPr>
          <w:p>
            <w:r>
              <w:rPr>
                <w:color w:val="1C2434"/>
                <w:sz w:val="16"/>
              </w:rPr>
              <w:t>Interpretar perímetro regulatório, contratos, ordens, sanções, retenções e incidentes sensíveis.</w:t>
            </w:r>
          </w:p>
        </w:tc>
      </w:tr>
      <w:tr>
        <w:trPr>
          <w:cantSplit/>
        </w:trPr>
        <w:tc>
          <w:tcPr>
            <w:tcW w:type="dxa" w:w="2494"/>
            <w:tcMar>
              <w:top w:w="70" w:type="dxa"/>
              <w:start w:w="80" w:type="dxa"/>
              <w:bottom w:w="70" w:type="dxa"/>
              <w:end w:w="80" w:type="dxa"/>
            </w:tcMar>
            <w:vAlign w:val="top"/>
          </w:tcPr>
          <w:p>
            <w:r>
              <w:rPr>
                <w:color w:val="1C2434"/>
                <w:sz w:val="16"/>
              </w:rPr>
              <w:t>Auditoria/Controle Independente</w:t>
            </w:r>
          </w:p>
        </w:tc>
        <w:tc>
          <w:tcPr>
            <w:tcW w:type="dxa" w:w="6576"/>
            <w:tcMar>
              <w:top w:w="70" w:type="dxa"/>
              <w:start w:w="80" w:type="dxa"/>
              <w:bottom w:w="70" w:type="dxa"/>
              <w:end w:w="80" w:type="dxa"/>
            </w:tcMar>
            <w:vAlign w:val="top"/>
          </w:tcPr>
          <w:p>
            <w:r>
              <w:rPr>
                <w:color w:val="1C2434"/>
                <w:sz w:val="16"/>
              </w:rPr>
              <w:t>Testar desenho e efetividade, amostrar dossiês, alertas, decisões e planos de remediação.</w:t>
            </w:r>
          </w:p>
        </w:tc>
      </w:tr>
      <w:tr>
        <w:trPr>
          <w:cantSplit/>
        </w:trPr>
        <w:tc>
          <w:tcPr>
            <w:tcW w:type="dxa" w:w="2494"/>
            <w:tcMar>
              <w:top w:w="70" w:type="dxa"/>
              <w:start w:w="80" w:type="dxa"/>
              <w:bottom w:w="70" w:type="dxa"/>
              <w:end w:w="80" w:type="dxa"/>
            </w:tcMar>
            <w:shd w:fill="F8FAFD"/>
            <w:vAlign w:val="top"/>
          </w:tcPr>
          <w:p>
            <w:r>
              <w:rPr>
                <w:color w:val="1C2434"/>
                <w:sz w:val="16"/>
              </w:rPr>
              <w:t>Terceiros críticos</w:t>
            </w:r>
          </w:p>
        </w:tc>
        <w:tc>
          <w:tcPr>
            <w:tcW w:type="dxa" w:w="6576"/>
            <w:tcMar>
              <w:top w:w="70" w:type="dxa"/>
              <w:start w:w="80" w:type="dxa"/>
              <w:bottom w:w="70" w:type="dxa"/>
              <w:end w:w="80" w:type="dxa"/>
            </w:tcMar>
            <w:shd w:fill="F8FAFD"/>
            <w:vAlign w:val="top"/>
          </w:tcPr>
          <w:p>
            <w:r>
              <w:rPr>
                <w:color w:val="1C2434"/>
                <w:sz w:val="16"/>
              </w:rPr>
              <w:t>Cumprir SLAs, segurança, confidencialidade, evidências, due diligence e obrigações contratuais de cooperação.</w:t>
            </w:r>
          </w:p>
        </w:tc>
      </w:tr>
    </w:tbl>
    <w:p>
      <w:pPr>
        <w:spacing w:after="0"/>
      </w:pPr>
    </w:p>
    <w:p>
      <w:pPr>
        <w:pStyle w:val="Heading1"/>
      </w:pPr>
      <w:r>
        <w:t>6. Avaliação Interna de Risco e apetite</w:t>
      </w:r>
    </w:p>
    <w:p>
      <w:r>
        <w:rPr>
          <w:b w:val="0"/>
        </w:rPr>
        <w:t>A Nuvra manterá Avaliação Interna de Risco, AIR, documentada e atualizada. A AIR deve avaliar a probabilidade e o impacto de uso indevido da plataforma considerando, no mínimo: cliente, beneficiário final, produto, serviço, canal, geografia, meio de pagamento, natureza da operação, volume, ticket, velocidade, contraparte, criptoativo, carteira e terceiro envolvido.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1984"/>
            <w:shd w:fill="071A52"/>
            <w:tcMar>
              <w:top w:w="90" w:type="dxa"/>
              <w:start w:w="90" w:type="dxa"/>
              <w:bottom w:w="90" w:type="dxa"/>
              <w:end w:w="90" w:type="dxa"/>
            </w:tcMar>
            <w:vAlign w:val="center"/>
          </w:tcPr>
          <w:p>
            <w:pPr>
              <w:jc w:val="left"/>
            </w:pPr>
            <w:r/>
            <w:r>
              <w:rPr>
                <w:b/>
                <w:color w:val="FFFFFF"/>
                <w:sz w:val="16"/>
              </w:rPr>
              <w:t>Classificação</w:t>
            </w:r>
          </w:p>
        </w:tc>
        <w:tc>
          <w:tcPr>
            <w:tcW w:type="dxa" w:w="7087"/>
            <w:shd w:fill="071A52"/>
            <w:tcMar>
              <w:top w:w="90" w:type="dxa"/>
              <w:start w:w="90" w:type="dxa"/>
              <w:bottom w:w="90" w:type="dxa"/>
              <w:end w:w="90" w:type="dxa"/>
            </w:tcMar>
            <w:vAlign w:val="center"/>
          </w:tcPr>
          <w:p>
            <w:pPr>
              <w:jc w:val="left"/>
            </w:pPr>
            <w:r/>
            <w:r>
              <w:rPr>
                <w:b/>
                <w:color w:val="FFFFFF"/>
                <w:sz w:val="16"/>
              </w:rPr>
              <w:t>Tratamento</w:t>
            </w:r>
          </w:p>
        </w:tc>
      </w:tr>
      <w:tr>
        <w:trPr>
          <w:cantSplit/>
        </w:trPr>
        <w:tc>
          <w:tcPr>
            <w:tcW w:type="dxa" w:w="1984"/>
            <w:tcMar>
              <w:top w:w="70" w:type="dxa"/>
              <w:start w:w="80" w:type="dxa"/>
              <w:bottom w:w="70" w:type="dxa"/>
              <w:end w:w="80" w:type="dxa"/>
            </w:tcMar>
            <w:vAlign w:val="top"/>
          </w:tcPr>
          <w:p>
            <w:r>
              <w:rPr>
                <w:color w:val="1C2434"/>
                <w:sz w:val="16"/>
              </w:rPr>
              <w:t>Baixo</w:t>
            </w:r>
          </w:p>
        </w:tc>
        <w:tc>
          <w:tcPr>
            <w:tcW w:type="dxa" w:w="7087"/>
            <w:tcMar>
              <w:top w:w="70" w:type="dxa"/>
              <w:start w:w="80" w:type="dxa"/>
              <w:bottom w:w="70" w:type="dxa"/>
              <w:end w:w="80" w:type="dxa"/>
            </w:tcMar>
            <w:vAlign w:val="top"/>
          </w:tcPr>
          <w:p>
            <w:r>
              <w:rPr>
                <w:color w:val="1C2434"/>
                <w:sz w:val="16"/>
              </w:rPr>
              <w:t>Onboarding padrão, monitoramento automatizado e revisão periódica simplificada.</w:t>
            </w:r>
          </w:p>
        </w:tc>
      </w:tr>
      <w:tr>
        <w:trPr>
          <w:cantSplit/>
        </w:trPr>
        <w:tc>
          <w:tcPr>
            <w:tcW w:type="dxa" w:w="1984"/>
            <w:tcMar>
              <w:top w:w="70" w:type="dxa"/>
              <w:start w:w="80" w:type="dxa"/>
              <w:bottom w:w="70" w:type="dxa"/>
              <w:end w:w="80" w:type="dxa"/>
            </w:tcMar>
            <w:shd w:fill="F8FAFD"/>
            <w:vAlign w:val="top"/>
          </w:tcPr>
          <w:p>
            <w:r>
              <w:rPr>
                <w:color w:val="1C2434"/>
                <w:sz w:val="16"/>
              </w:rPr>
              <w:t>Médio</w:t>
            </w:r>
          </w:p>
        </w:tc>
        <w:tc>
          <w:tcPr>
            <w:tcW w:type="dxa" w:w="7087"/>
            <w:tcMar>
              <w:top w:w="70" w:type="dxa"/>
              <w:start w:w="80" w:type="dxa"/>
              <w:bottom w:w="70" w:type="dxa"/>
              <w:end w:w="80" w:type="dxa"/>
            </w:tcMar>
            <w:shd w:fill="F8FAFD"/>
            <w:vAlign w:val="top"/>
          </w:tcPr>
          <w:p>
            <w:r>
              <w:rPr>
                <w:color w:val="1C2434"/>
                <w:sz w:val="16"/>
              </w:rPr>
              <w:t>Validações adicionais conforme fator de risco e revisão anual.</w:t>
            </w:r>
          </w:p>
        </w:tc>
      </w:tr>
      <w:tr>
        <w:trPr>
          <w:cantSplit/>
        </w:trPr>
        <w:tc>
          <w:tcPr>
            <w:tcW w:type="dxa" w:w="1984"/>
            <w:tcMar>
              <w:top w:w="70" w:type="dxa"/>
              <w:start w:w="80" w:type="dxa"/>
              <w:bottom w:w="70" w:type="dxa"/>
              <w:end w:w="80" w:type="dxa"/>
            </w:tcMar>
            <w:vAlign w:val="top"/>
          </w:tcPr>
          <w:p>
            <w:r>
              <w:rPr>
                <w:color w:val="1C2434"/>
                <w:sz w:val="16"/>
              </w:rPr>
              <w:t>Alto</w:t>
            </w:r>
          </w:p>
        </w:tc>
        <w:tc>
          <w:tcPr>
            <w:tcW w:type="dxa" w:w="7087"/>
            <w:tcMar>
              <w:top w:w="70" w:type="dxa"/>
              <w:start w:w="80" w:type="dxa"/>
              <w:bottom w:w="70" w:type="dxa"/>
              <w:end w:w="80" w:type="dxa"/>
            </w:tcMar>
            <w:vAlign w:val="top"/>
          </w:tcPr>
          <w:p>
            <w:r>
              <w:rPr>
                <w:color w:val="1C2434"/>
                <w:sz w:val="16"/>
              </w:rPr>
              <w:t>EDD obrigatória, aprovação de Compliance, monitoramento reforçado e revisão semestral.</w:t>
            </w:r>
          </w:p>
        </w:tc>
      </w:tr>
      <w:tr>
        <w:trPr>
          <w:cantSplit/>
        </w:trPr>
        <w:tc>
          <w:tcPr>
            <w:tcW w:type="dxa" w:w="1984"/>
            <w:tcMar>
              <w:top w:w="70" w:type="dxa"/>
              <w:start w:w="80" w:type="dxa"/>
              <w:bottom w:w="70" w:type="dxa"/>
              <w:end w:w="80" w:type="dxa"/>
            </w:tcMar>
            <w:shd w:fill="F8FAFD"/>
            <w:vAlign w:val="top"/>
          </w:tcPr>
          <w:p>
            <w:r>
              <w:rPr>
                <w:color w:val="1C2434"/>
                <w:sz w:val="16"/>
              </w:rPr>
              <w:t>Muito alto</w:t>
            </w:r>
          </w:p>
        </w:tc>
        <w:tc>
          <w:tcPr>
            <w:tcW w:type="dxa" w:w="7087"/>
            <w:tcMar>
              <w:top w:w="70" w:type="dxa"/>
              <w:start w:w="80" w:type="dxa"/>
              <w:bottom w:w="70" w:type="dxa"/>
              <w:end w:w="80" w:type="dxa"/>
            </w:tcMar>
            <w:shd w:fill="F8FAFD"/>
            <w:vAlign w:val="top"/>
          </w:tcPr>
          <w:p>
            <w:r>
              <w:rPr>
                <w:color w:val="1C2434"/>
                <w:sz w:val="16"/>
              </w:rPr>
              <w:t>Aprovação do responsável de Compliance e diretor designado, limites específicos, revisão trimestral e possibilidade de recusa.</w:t>
            </w:r>
          </w:p>
        </w:tc>
      </w:tr>
      <w:tr>
        <w:trPr>
          <w:cantSplit/>
        </w:trPr>
        <w:tc>
          <w:tcPr>
            <w:tcW w:type="dxa" w:w="1984"/>
            <w:tcMar>
              <w:top w:w="70" w:type="dxa"/>
              <w:start w:w="80" w:type="dxa"/>
              <w:bottom w:w="70" w:type="dxa"/>
              <w:end w:w="80" w:type="dxa"/>
            </w:tcMar>
            <w:vAlign w:val="top"/>
          </w:tcPr>
          <w:p>
            <w:r>
              <w:rPr>
                <w:color w:val="1C2434"/>
                <w:sz w:val="16"/>
              </w:rPr>
              <w:t>Inaceitável</w:t>
            </w:r>
          </w:p>
        </w:tc>
        <w:tc>
          <w:tcPr>
            <w:tcW w:type="dxa" w:w="7087"/>
            <w:tcMar>
              <w:top w:w="70" w:type="dxa"/>
              <w:start w:w="80" w:type="dxa"/>
              <w:bottom w:w="70" w:type="dxa"/>
              <w:end w:w="80" w:type="dxa"/>
            </w:tcMar>
            <w:vAlign w:val="top"/>
          </w:tcPr>
          <w:p>
            <w:r>
              <w:rPr>
                <w:color w:val="1C2434"/>
                <w:sz w:val="16"/>
              </w:rPr>
              <w:t>Relacionamento proibido, encerramento ou não execução da operação, conforme aplicável.</w:t>
            </w:r>
          </w:p>
        </w:tc>
      </w:tr>
    </w:tbl>
    <w:p>
      <w:pPr>
        <w:spacing w:after="0"/>
      </w:pPr>
    </w:p>
    <w:p>
      <w:r>
        <w:rPr>
          <w:b w:val="0"/>
        </w:rPr>
        <w:t>Os pesos, limites de score e regras de monitoramento são confidenciais e podem ser ajustados com base em dados de perda, fraude, alertas, comunicação de operações suspeitas, auditoria e mudanças regulatórias. A divulgação externa de parâmetros capazes de facilitar evasão de controles é vedada.</w:t>
      </w:r>
    </w:p>
    <w:p>
      <w:pPr>
        <w:pStyle w:val="Heading1"/>
      </w:pPr>
      <w:r>
        <w:t>7. Política de aceitação de clientes</w:t>
      </w:r>
    </w:p>
    <w:p>
      <w:r>
        <w:rPr>
          <w:b w:val="0"/>
        </w:rPr>
        <w:t>A aceitação depende da possibilidade de identificar o cliente, compreender sua atividade econômica, validar o controle societário, conhecer a origem dos recursos e verificar se o uso pretendido da Nuvra é compatível com a operação real.</w:t>
      </w:r>
    </w:p>
    <w:p>
      <w:pPr>
        <w:pStyle w:val="ListBullet"/>
        <w:spacing w:after="40"/>
      </w:pPr>
      <w:r>
        <w:t>Recusar cadastro com identidade falsa, documentos materialmente inconsistentes, representante sem poderes, estrutura societária opaca sem justificativa ou recusa injustificada de informar beneficiário final.</w:t>
      </w:r>
    </w:p>
    <w:p>
      <w:pPr>
        <w:pStyle w:val="ListBullet"/>
        <w:spacing w:after="40"/>
      </w:pPr>
      <w:r>
        <w:t>Exigir documentação regulatória para atividades licenciadas, autorizadas ou supervisionadas.</w:t>
      </w:r>
    </w:p>
    <w:p>
      <w:pPr>
        <w:pStyle w:val="ListBullet"/>
        <w:spacing w:after="40"/>
      </w:pPr>
      <w:r>
        <w:t>Exigir website, contrato, nota fiscal, política comercial ou evidência operacional quando necessário para comprovar atividade real.</w:t>
      </w:r>
    </w:p>
    <w:p>
      <w:pPr>
        <w:pStyle w:val="ListBullet"/>
        <w:spacing w:after="40"/>
      </w:pPr>
      <w:r>
        <w:t>Impedir ativação de produtos incompatíveis com o perfil declarado até conclusão da diligência correspondente.</w:t>
      </w:r>
    </w:p>
    <w:p>
      <w:pPr>
        <w:pStyle w:val="ListBullet"/>
        <w:spacing w:after="40"/>
      </w:pPr>
      <w:r>
        <w:t>Aplicar limites iniciais ou rollout progressivo para operações novas, de alto risco ou com histórico insuficiente.</w:t>
      </w:r>
    </w:p>
    <w:p>
      <w:pPr>
        <w:pStyle w:val="Heading1"/>
      </w:pPr>
      <w:r>
        <w:t>8. KYC para pessoas físicas</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041"/>
            <w:shd w:fill="071A52"/>
            <w:tcMar>
              <w:top w:w="90" w:type="dxa"/>
              <w:start w:w="90" w:type="dxa"/>
              <w:bottom w:w="90" w:type="dxa"/>
              <w:end w:w="90" w:type="dxa"/>
            </w:tcMar>
            <w:vAlign w:val="center"/>
          </w:tcPr>
          <w:p>
            <w:pPr>
              <w:jc w:val="left"/>
            </w:pPr>
            <w:r/>
            <w:r>
              <w:rPr>
                <w:b/>
                <w:color w:val="FFFFFF"/>
                <w:sz w:val="16"/>
              </w:rPr>
              <w:t>Etapa</w:t>
            </w:r>
          </w:p>
        </w:tc>
        <w:tc>
          <w:tcPr>
            <w:tcW w:type="dxa" w:w="7030"/>
            <w:shd w:fill="071A52"/>
            <w:tcMar>
              <w:top w:w="90" w:type="dxa"/>
              <w:start w:w="90" w:type="dxa"/>
              <w:bottom w:w="90" w:type="dxa"/>
              <w:end w:w="90" w:type="dxa"/>
            </w:tcMar>
            <w:vAlign w:val="center"/>
          </w:tcPr>
          <w:p>
            <w:pPr>
              <w:jc w:val="left"/>
            </w:pPr>
            <w:r/>
            <w:r>
              <w:rPr>
                <w:b/>
                <w:color w:val="FFFFFF"/>
                <w:sz w:val="16"/>
              </w:rPr>
              <w:t>Controle mínimo</w:t>
            </w:r>
          </w:p>
        </w:tc>
      </w:tr>
      <w:tr>
        <w:trPr>
          <w:cantSplit/>
        </w:trPr>
        <w:tc>
          <w:tcPr>
            <w:tcW w:type="dxa" w:w="2041"/>
            <w:tcMar>
              <w:top w:w="70" w:type="dxa"/>
              <w:start w:w="80" w:type="dxa"/>
              <w:bottom w:w="70" w:type="dxa"/>
              <w:end w:w="80" w:type="dxa"/>
            </w:tcMar>
            <w:vAlign w:val="top"/>
          </w:tcPr>
          <w:p>
            <w:r>
              <w:rPr>
                <w:color w:val="1C2434"/>
                <w:sz w:val="16"/>
              </w:rPr>
              <w:t>Identificação</w:t>
            </w:r>
          </w:p>
        </w:tc>
        <w:tc>
          <w:tcPr>
            <w:tcW w:type="dxa" w:w="7030"/>
            <w:tcMar>
              <w:top w:w="70" w:type="dxa"/>
              <w:start w:w="80" w:type="dxa"/>
              <w:bottom w:w="70" w:type="dxa"/>
              <w:end w:w="80" w:type="dxa"/>
            </w:tcMar>
            <w:vAlign w:val="top"/>
          </w:tcPr>
          <w:p>
            <w:r>
              <w:rPr>
                <w:color w:val="1C2434"/>
                <w:sz w:val="16"/>
              </w:rPr>
              <w:t>Nome completo, CPF ou documento equivalente, data de nascimento, nacionalidade e dados de contato.</w:t>
            </w:r>
          </w:p>
        </w:tc>
      </w:tr>
      <w:tr>
        <w:trPr>
          <w:cantSplit/>
        </w:trPr>
        <w:tc>
          <w:tcPr>
            <w:tcW w:type="dxa" w:w="2041"/>
            <w:tcMar>
              <w:top w:w="70" w:type="dxa"/>
              <w:start w:w="80" w:type="dxa"/>
              <w:bottom w:w="70" w:type="dxa"/>
              <w:end w:w="80" w:type="dxa"/>
            </w:tcMar>
            <w:shd w:fill="F8FAFD"/>
            <w:vAlign w:val="top"/>
          </w:tcPr>
          <w:p>
            <w:r>
              <w:rPr>
                <w:color w:val="1C2434"/>
                <w:sz w:val="16"/>
              </w:rPr>
              <w:t>Documento</w:t>
            </w:r>
          </w:p>
        </w:tc>
        <w:tc>
          <w:tcPr>
            <w:tcW w:type="dxa" w:w="7030"/>
            <w:tcMar>
              <w:top w:w="70" w:type="dxa"/>
              <w:start w:w="80" w:type="dxa"/>
              <w:bottom w:w="70" w:type="dxa"/>
              <w:end w:w="80" w:type="dxa"/>
            </w:tcMar>
            <w:shd w:fill="F8FAFD"/>
            <w:vAlign w:val="top"/>
          </w:tcPr>
          <w:p>
            <w:r>
              <w:rPr>
                <w:color w:val="1C2434"/>
                <w:sz w:val="16"/>
              </w:rPr>
              <w:t>Documento oficial válido, integridade do arquivo e checagem de autenticidade quando disponível.</w:t>
            </w:r>
          </w:p>
        </w:tc>
      </w:tr>
      <w:tr>
        <w:trPr>
          <w:cantSplit/>
        </w:trPr>
        <w:tc>
          <w:tcPr>
            <w:tcW w:type="dxa" w:w="2041"/>
            <w:tcMar>
              <w:top w:w="70" w:type="dxa"/>
              <w:start w:w="80" w:type="dxa"/>
              <w:bottom w:w="70" w:type="dxa"/>
              <w:end w:w="80" w:type="dxa"/>
            </w:tcMar>
            <w:vAlign w:val="top"/>
          </w:tcPr>
          <w:p>
            <w:r>
              <w:rPr>
                <w:color w:val="1C2434"/>
                <w:sz w:val="16"/>
              </w:rPr>
              <w:t>Biometria</w:t>
            </w:r>
          </w:p>
        </w:tc>
        <w:tc>
          <w:tcPr>
            <w:tcW w:type="dxa" w:w="7030"/>
            <w:tcMar>
              <w:top w:w="70" w:type="dxa"/>
              <w:start w:w="80" w:type="dxa"/>
              <w:bottom w:w="70" w:type="dxa"/>
              <w:end w:w="80" w:type="dxa"/>
            </w:tcMar>
            <w:vAlign w:val="top"/>
          </w:tcPr>
          <w:p>
            <w:r>
              <w:rPr>
                <w:color w:val="1C2434"/>
                <w:sz w:val="16"/>
              </w:rPr>
              <w:t>Selfie e prova de vida, quando proporcional ao risco, com detecção de apresentação e correspondência facial.</w:t>
            </w:r>
          </w:p>
        </w:tc>
      </w:tr>
      <w:tr>
        <w:trPr>
          <w:cantSplit/>
        </w:trPr>
        <w:tc>
          <w:tcPr>
            <w:tcW w:type="dxa" w:w="2041"/>
            <w:tcMar>
              <w:top w:w="70" w:type="dxa"/>
              <w:start w:w="80" w:type="dxa"/>
              <w:bottom w:w="70" w:type="dxa"/>
              <w:end w:w="80" w:type="dxa"/>
            </w:tcMar>
            <w:shd w:fill="F8FAFD"/>
            <w:vAlign w:val="top"/>
          </w:tcPr>
          <w:p>
            <w:r>
              <w:rPr>
                <w:color w:val="1C2434"/>
                <w:sz w:val="16"/>
              </w:rPr>
              <w:t>Endereço</w:t>
            </w:r>
          </w:p>
        </w:tc>
        <w:tc>
          <w:tcPr>
            <w:tcW w:type="dxa" w:w="7030"/>
            <w:tcMar>
              <w:top w:w="70" w:type="dxa"/>
              <w:start w:w="80" w:type="dxa"/>
              <w:bottom w:w="70" w:type="dxa"/>
              <w:end w:w="80" w:type="dxa"/>
            </w:tcMar>
            <w:shd w:fill="F8FAFD"/>
            <w:vAlign w:val="top"/>
          </w:tcPr>
          <w:p>
            <w:r>
              <w:rPr>
                <w:color w:val="1C2434"/>
                <w:sz w:val="16"/>
              </w:rPr>
              <w:t>Comprovação ou validação cadastral quando exigida pelo risco ou produto.</w:t>
            </w:r>
          </w:p>
        </w:tc>
      </w:tr>
      <w:tr>
        <w:trPr>
          <w:cantSplit/>
        </w:trPr>
        <w:tc>
          <w:tcPr>
            <w:tcW w:type="dxa" w:w="2041"/>
            <w:tcMar>
              <w:top w:w="70" w:type="dxa"/>
              <w:start w:w="80" w:type="dxa"/>
              <w:bottom w:w="70" w:type="dxa"/>
              <w:end w:w="80" w:type="dxa"/>
            </w:tcMar>
            <w:vAlign w:val="top"/>
          </w:tcPr>
          <w:p>
            <w:r>
              <w:rPr>
                <w:color w:val="1C2434"/>
                <w:sz w:val="16"/>
              </w:rPr>
              <w:t>Perfil econômico</w:t>
            </w:r>
          </w:p>
        </w:tc>
        <w:tc>
          <w:tcPr>
            <w:tcW w:type="dxa" w:w="7030"/>
            <w:tcMar>
              <w:top w:w="70" w:type="dxa"/>
              <w:start w:w="80" w:type="dxa"/>
              <w:bottom w:w="70" w:type="dxa"/>
              <w:end w:w="80" w:type="dxa"/>
            </w:tcMar>
            <w:vAlign w:val="top"/>
          </w:tcPr>
          <w:p>
            <w:r>
              <w:rPr>
                <w:color w:val="1C2434"/>
                <w:sz w:val="16"/>
              </w:rPr>
              <w:t>Ocupação, renda/faixa patrimonial, finalidade, origem dos recursos e volume esperado quando aplicável.</w:t>
            </w:r>
          </w:p>
        </w:tc>
      </w:tr>
      <w:tr>
        <w:trPr>
          <w:cantSplit/>
        </w:trPr>
        <w:tc>
          <w:tcPr>
            <w:tcW w:type="dxa" w:w="2041"/>
            <w:tcMar>
              <w:top w:w="70" w:type="dxa"/>
              <w:start w:w="80" w:type="dxa"/>
              <w:bottom w:w="70" w:type="dxa"/>
              <w:end w:w="80" w:type="dxa"/>
            </w:tcMar>
            <w:shd w:fill="F8FAFD"/>
            <w:vAlign w:val="top"/>
          </w:tcPr>
          <w:p>
            <w:r>
              <w:rPr>
                <w:color w:val="1C2434"/>
                <w:sz w:val="16"/>
              </w:rPr>
              <w:t>Listas</w:t>
            </w:r>
          </w:p>
        </w:tc>
        <w:tc>
          <w:tcPr>
            <w:tcW w:type="dxa" w:w="7030"/>
            <w:tcMar>
              <w:top w:w="70" w:type="dxa"/>
              <w:start w:w="80" w:type="dxa"/>
              <w:bottom w:w="70" w:type="dxa"/>
              <w:end w:w="80" w:type="dxa"/>
            </w:tcMar>
            <w:shd w:fill="F8FAFD"/>
            <w:vAlign w:val="top"/>
          </w:tcPr>
          <w:p>
            <w:r>
              <w:rPr>
                <w:color w:val="1C2434"/>
                <w:sz w:val="16"/>
              </w:rPr>
              <w:t>PEP, sanções, restrições, mídia adversa e sinais de fraude ou identidade comprometida.</w:t>
            </w:r>
          </w:p>
        </w:tc>
      </w:tr>
      <w:tr>
        <w:trPr>
          <w:cantSplit/>
        </w:trPr>
        <w:tc>
          <w:tcPr>
            <w:tcW w:type="dxa" w:w="2041"/>
            <w:tcMar>
              <w:top w:w="70" w:type="dxa"/>
              <w:start w:w="80" w:type="dxa"/>
              <w:bottom w:w="70" w:type="dxa"/>
              <w:end w:w="80" w:type="dxa"/>
            </w:tcMar>
            <w:vAlign w:val="top"/>
          </w:tcPr>
          <w:p>
            <w:r>
              <w:rPr>
                <w:color w:val="1C2434"/>
                <w:sz w:val="16"/>
              </w:rPr>
              <w:t>Dispositivo</w:t>
            </w:r>
          </w:p>
        </w:tc>
        <w:tc>
          <w:tcPr>
            <w:tcW w:type="dxa" w:w="7030"/>
            <w:tcMar>
              <w:top w:w="70" w:type="dxa"/>
              <w:start w:w="80" w:type="dxa"/>
              <w:bottom w:w="70" w:type="dxa"/>
              <w:end w:w="80" w:type="dxa"/>
            </w:tcMar>
            <w:vAlign w:val="top"/>
          </w:tcPr>
          <w:p>
            <w:r>
              <w:rPr>
                <w:color w:val="1C2434"/>
                <w:sz w:val="16"/>
              </w:rPr>
              <w:t>IP, geolocalização aproximada, dispositivo, proxy/VPN/TOR e padrões de múltiplas contas, respeitada a LGPD.</w:t>
            </w:r>
          </w:p>
        </w:tc>
      </w:tr>
      <w:tr>
        <w:trPr>
          <w:cantSplit/>
        </w:trPr>
        <w:tc>
          <w:tcPr>
            <w:tcW w:type="dxa" w:w="2041"/>
            <w:tcMar>
              <w:top w:w="70" w:type="dxa"/>
              <w:start w:w="80" w:type="dxa"/>
              <w:bottom w:w="70" w:type="dxa"/>
              <w:end w:w="80" w:type="dxa"/>
            </w:tcMar>
            <w:shd w:fill="F8FAFD"/>
            <w:vAlign w:val="top"/>
          </w:tcPr>
          <w:p>
            <w:r>
              <w:rPr>
                <w:color w:val="1C2434"/>
                <w:sz w:val="16"/>
              </w:rPr>
              <w:t>Conta de destino</w:t>
            </w:r>
          </w:p>
        </w:tc>
        <w:tc>
          <w:tcPr>
            <w:tcW w:type="dxa" w:w="7030"/>
            <w:tcMar>
              <w:top w:w="70" w:type="dxa"/>
              <w:start w:w="80" w:type="dxa"/>
              <w:bottom w:w="70" w:type="dxa"/>
              <w:end w:w="80" w:type="dxa"/>
            </w:tcMar>
            <w:shd w:fill="F8FAFD"/>
            <w:vAlign w:val="top"/>
          </w:tcPr>
          <w:p>
            <w:r>
              <w:rPr>
                <w:color w:val="1C2434"/>
                <w:sz w:val="16"/>
              </w:rPr>
              <w:t>Verificação de titularidade ou vínculo justificado para saques, payouts e conversões sensíveis.</w:t>
            </w:r>
          </w:p>
        </w:tc>
      </w:tr>
    </w:tbl>
    <w:p>
      <w:pPr>
        <w:spacing w:after="0"/>
      </w:pPr>
    </w:p>
    <w:p>
      <w:pPr>
        <w:pStyle w:val="Heading1"/>
      </w:pPr>
      <w:r>
        <w:t>9. KYB para pessoas jurídicas</w:t>
      </w:r>
    </w:p>
    <w:p>
      <w:r>
        <w:rPr>
          <w:b w:val="0"/>
        </w:rPr>
        <w:t>O KYB deve demonstrar a existência, legitimidade, atividade, propriedade e governança da empresa. A Nuvra não deve se limitar à consulta cadastral do CNPJ.</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041"/>
            <w:shd w:fill="071A52"/>
            <w:tcMar>
              <w:top w:w="90" w:type="dxa"/>
              <w:start w:w="90" w:type="dxa"/>
              <w:bottom w:w="90" w:type="dxa"/>
              <w:end w:w="90" w:type="dxa"/>
            </w:tcMar>
            <w:vAlign w:val="center"/>
          </w:tcPr>
          <w:p>
            <w:pPr>
              <w:jc w:val="left"/>
            </w:pPr>
            <w:r/>
            <w:r>
              <w:rPr>
                <w:b/>
                <w:color w:val="FFFFFF"/>
                <w:sz w:val="16"/>
              </w:rPr>
              <w:t>Categoria</w:t>
            </w:r>
          </w:p>
        </w:tc>
        <w:tc>
          <w:tcPr>
            <w:tcW w:type="dxa" w:w="7030"/>
            <w:shd w:fill="071A52"/>
            <w:tcMar>
              <w:top w:w="90" w:type="dxa"/>
              <w:start w:w="90" w:type="dxa"/>
              <w:bottom w:w="90" w:type="dxa"/>
              <w:end w:w="90" w:type="dxa"/>
            </w:tcMar>
            <w:vAlign w:val="center"/>
          </w:tcPr>
          <w:p>
            <w:pPr>
              <w:jc w:val="left"/>
            </w:pPr>
            <w:r/>
            <w:r>
              <w:rPr>
                <w:b/>
                <w:color w:val="FFFFFF"/>
                <w:sz w:val="16"/>
              </w:rPr>
              <w:t>Documentos e validações</w:t>
            </w:r>
          </w:p>
        </w:tc>
      </w:tr>
      <w:tr>
        <w:trPr>
          <w:cantSplit/>
        </w:trPr>
        <w:tc>
          <w:tcPr>
            <w:tcW w:type="dxa" w:w="2041"/>
            <w:tcMar>
              <w:top w:w="70" w:type="dxa"/>
              <w:start w:w="80" w:type="dxa"/>
              <w:bottom w:w="70" w:type="dxa"/>
              <w:end w:w="80" w:type="dxa"/>
            </w:tcMar>
            <w:vAlign w:val="top"/>
          </w:tcPr>
          <w:p>
            <w:r>
              <w:rPr>
                <w:color w:val="1C2434"/>
                <w:sz w:val="16"/>
              </w:rPr>
              <w:t>Existência jurídica</w:t>
            </w:r>
          </w:p>
        </w:tc>
        <w:tc>
          <w:tcPr>
            <w:tcW w:type="dxa" w:w="7030"/>
            <w:tcMar>
              <w:top w:w="70" w:type="dxa"/>
              <w:start w:w="80" w:type="dxa"/>
              <w:bottom w:w="70" w:type="dxa"/>
              <w:end w:w="80" w:type="dxa"/>
            </w:tcMar>
            <w:vAlign w:val="top"/>
          </w:tcPr>
          <w:p>
            <w:r>
              <w:rPr>
                <w:color w:val="1C2434"/>
                <w:sz w:val="16"/>
              </w:rPr>
              <w:t>Cartão CNPJ, situação cadastral, contrato ou estatuto social, alterações e comprovante de endereço quando necessário.</w:t>
            </w:r>
          </w:p>
        </w:tc>
      </w:tr>
      <w:tr>
        <w:trPr>
          <w:cantSplit/>
        </w:trPr>
        <w:tc>
          <w:tcPr>
            <w:tcW w:type="dxa" w:w="2041"/>
            <w:tcMar>
              <w:top w:w="70" w:type="dxa"/>
              <w:start w:w="80" w:type="dxa"/>
              <w:bottom w:w="70" w:type="dxa"/>
              <w:end w:w="80" w:type="dxa"/>
            </w:tcMar>
            <w:shd w:fill="F8FAFD"/>
            <w:vAlign w:val="top"/>
          </w:tcPr>
          <w:p>
            <w:r>
              <w:rPr>
                <w:color w:val="1C2434"/>
                <w:sz w:val="16"/>
              </w:rPr>
              <w:t>Administração</w:t>
            </w:r>
          </w:p>
        </w:tc>
        <w:tc>
          <w:tcPr>
            <w:tcW w:type="dxa" w:w="7030"/>
            <w:tcMar>
              <w:top w:w="70" w:type="dxa"/>
              <w:start w:w="80" w:type="dxa"/>
              <w:bottom w:w="70" w:type="dxa"/>
              <w:end w:w="80" w:type="dxa"/>
            </w:tcMar>
            <w:shd w:fill="F8FAFD"/>
            <w:vAlign w:val="top"/>
          </w:tcPr>
          <w:p>
            <w:r>
              <w:rPr>
                <w:color w:val="1C2434"/>
                <w:sz w:val="16"/>
              </w:rPr>
              <w:t>QSA, administradores, diretores, procuradores e poderes de representação.</w:t>
            </w:r>
          </w:p>
        </w:tc>
      </w:tr>
      <w:tr>
        <w:trPr>
          <w:cantSplit/>
        </w:trPr>
        <w:tc>
          <w:tcPr>
            <w:tcW w:type="dxa" w:w="2041"/>
            <w:tcMar>
              <w:top w:w="70" w:type="dxa"/>
              <w:start w:w="80" w:type="dxa"/>
              <w:bottom w:w="70" w:type="dxa"/>
              <w:end w:w="80" w:type="dxa"/>
            </w:tcMar>
            <w:vAlign w:val="top"/>
          </w:tcPr>
          <w:p>
            <w:r>
              <w:rPr>
                <w:color w:val="1C2434"/>
                <w:sz w:val="16"/>
              </w:rPr>
              <w:t>Beneficiário final</w:t>
            </w:r>
          </w:p>
        </w:tc>
        <w:tc>
          <w:tcPr>
            <w:tcW w:type="dxa" w:w="7030"/>
            <w:tcMar>
              <w:top w:w="70" w:type="dxa"/>
              <w:start w:w="80" w:type="dxa"/>
              <w:bottom w:w="70" w:type="dxa"/>
              <w:end w:w="80" w:type="dxa"/>
            </w:tcMar>
            <w:vAlign w:val="top"/>
          </w:tcPr>
          <w:p>
            <w:r>
              <w:rPr>
                <w:color w:val="1C2434"/>
                <w:sz w:val="16"/>
              </w:rPr>
              <w:t>Cadeia societária até pessoas naturais controladoras ou com influência significativa; validação documental conforme risco.</w:t>
            </w:r>
          </w:p>
        </w:tc>
      </w:tr>
      <w:tr>
        <w:trPr>
          <w:cantSplit/>
        </w:trPr>
        <w:tc>
          <w:tcPr>
            <w:tcW w:type="dxa" w:w="2041"/>
            <w:tcMar>
              <w:top w:w="70" w:type="dxa"/>
              <w:start w:w="80" w:type="dxa"/>
              <w:bottom w:w="70" w:type="dxa"/>
              <w:end w:w="80" w:type="dxa"/>
            </w:tcMar>
            <w:shd w:fill="F8FAFD"/>
            <w:vAlign w:val="top"/>
          </w:tcPr>
          <w:p>
            <w:r>
              <w:rPr>
                <w:color w:val="1C2434"/>
                <w:sz w:val="16"/>
              </w:rPr>
              <w:t>Atividade</w:t>
            </w:r>
          </w:p>
        </w:tc>
        <w:tc>
          <w:tcPr>
            <w:tcW w:type="dxa" w:w="7030"/>
            <w:tcMar>
              <w:top w:w="70" w:type="dxa"/>
              <w:start w:w="80" w:type="dxa"/>
              <w:bottom w:w="70" w:type="dxa"/>
              <w:end w:w="80" w:type="dxa"/>
            </w:tcMar>
            <w:shd w:fill="F8FAFD"/>
            <w:vAlign w:val="top"/>
          </w:tcPr>
          <w:p>
            <w:r>
              <w:rPr>
                <w:color w:val="1C2434"/>
                <w:sz w:val="16"/>
              </w:rPr>
              <w:t>CNAE, website, produtos/serviços, modelo de negócio, ticket, geografia, canais de venda, fornecedores e clientes relevantes.</w:t>
            </w:r>
          </w:p>
        </w:tc>
      </w:tr>
      <w:tr>
        <w:trPr>
          <w:cantSplit/>
        </w:trPr>
        <w:tc>
          <w:tcPr>
            <w:tcW w:type="dxa" w:w="2041"/>
            <w:tcMar>
              <w:top w:w="70" w:type="dxa"/>
              <w:start w:w="80" w:type="dxa"/>
              <w:bottom w:w="70" w:type="dxa"/>
              <w:end w:w="80" w:type="dxa"/>
            </w:tcMar>
            <w:vAlign w:val="top"/>
          </w:tcPr>
          <w:p>
            <w:r>
              <w:rPr>
                <w:color w:val="1C2434"/>
                <w:sz w:val="16"/>
              </w:rPr>
              <w:t>Financeiro</w:t>
            </w:r>
          </w:p>
        </w:tc>
        <w:tc>
          <w:tcPr>
            <w:tcW w:type="dxa" w:w="7030"/>
            <w:tcMar>
              <w:top w:w="70" w:type="dxa"/>
              <w:start w:w="80" w:type="dxa"/>
              <w:bottom w:w="70" w:type="dxa"/>
              <w:end w:w="80" w:type="dxa"/>
            </w:tcMar>
            <w:vAlign w:val="top"/>
          </w:tcPr>
          <w:p>
            <w:r>
              <w:rPr>
                <w:color w:val="1C2434"/>
                <w:sz w:val="16"/>
              </w:rPr>
              <w:t>Receita, fluxo esperado, extratos, balanço, DRE, notas fiscais, contratos ou outras evidências quando o risco exigir.</w:t>
            </w:r>
          </w:p>
        </w:tc>
      </w:tr>
      <w:tr>
        <w:trPr>
          <w:cantSplit/>
        </w:trPr>
        <w:tc>
          <w:tcPr>
            <w:tcW w:type="dxa" w:w="2041"/>
            <w:tcMar>
              <w:top w:w="70" w:type="dxa"/>
              <w:start w:w="80" w:type="dxa"/>
              <w:bottom w:w="70" w:type="dxa"/>
              <w:end w:w="80" w:type="dxa"/>
            </w:tcMar>
            <w:shd w:fill="F8FAFD"/>
            <w:vAlign w:val="top"/>
          </w:tcPr>
          <w:p>
            <w:r>
              <w:rPr>
                <w:color w:val="1C2434"/>
                <w:sz w:val="16"/>
              </w:rPr>
              <w:t>Regulatório</w:t>
            </w:r>
          </w:p>
        </w:tc>
        <w:tc>
          <w:tcPr>
            <w:tcW w:type="dxa" w:w="7030"/>
            <w:tcMar>
              <w:top w:w="70" w:type="dxa"/>
              <w:start w:w="80" w:type="dxa"/>
              <w:bottom w:w="70" w:type="dxa"/>
              <w:end w:w="80" w:type="dxa"/>
            </w:tcMar>
            <w:shd w:fill="F8FAFD"/>
            <w:vAlign w:val="top"/>
          </w:tcPr>
          <w:p>
            <w:r>
              <w:rPr>
                <w:color w:val="1C2434"/>
                <w:sz w:val="16"/>
              </w:rPr>
              <w:t>Licenças, autorizações, registro em órgãos, termos de uso e políticas obrigatórias para setores regulados.</w:t>
            </w:r>
          </w:p>
        </w:tc>
      </w:tr>
      <w:tr>
        <w:trPr>
          <w:cantSplit/>
        </w:trPr>
        <w:tc>
          <w:tcPr>
            <w:tcW w:type="dxa" w:w="2041"/>
            <w:tcMar>
              <w:top w:w="70" w:type="dxa"/>
              <w:start w:w="80" w:type="dxa"/>
              <w:bottom w:w="70" w:type="dxa"/>
              <w:end w:w="80" w:type="dxa"/>
            </w:tcMar>
            <w:vAlign w:val="top"/>
          </w:tcPr>
          <w:p>
            <w:r>
              <w:rPr>
                <w:color w:val="1C2434"/>
                <w:sz w:val="16"/>
              </w:rPr>
              <w:t>Reputacional</w:t>
            </w:r>
          </w:p>
        </w:tc>
        <w:tc>
          <w:tcPr>
            <w:tcW w:type="dxa" w:w="7030"/>
            <w:tcMar>
              <w:top w:w="70" w:type="dxa"/>
              <w:start w:w="80" w:type="dxa"/>
              <w:bottom w:w="70" w:type="dxa"/>
              <w:end w:w="80" w:type="dxa"/>
            </w:tcMar>
            <w:vAlign w:val="top"/>
          </w:tcPr>
          <w:p>
            <w:r>
              <w:rPr>
                <w:color w:val="1C2434"/>
                <w:sz w:val="16"/>
              </w:rPr>
              <w:t>Mídia adversa, processos relevantes, reclamações estruturais, alertas de golpe, sanções e histórico do grupo econômico.</w:t>
            </w:r>
          </w:p>
        </w:tc>
      </w:tr>
      <w:tr>
        <w:trPr>
          <w:cantSplit/>
        </w:trPr>
        <w:tc>
          <w:tcPr>
            <w:tcW w:type="dxa" w:w="2041"/>
            <w:tcMar>
              <w:top w:w="70" w:type="dxa"/>
              <w:start w:w="80" w:type="dxa"/>
              <w:bottom w:w="70" w:type="dxa"/>
              <w:end w:w="80" w:type="dxa"/>
            </w:tcMar>
            <w:shd w:fill="F8FAFD"/>
            <w:vAlign w:val="top"/>
          </w:tcPr>
          <w:p>
            <w:r>
              <w:rPr>
                <w:color w:val="1C2434"/>
                <w:sz w:val="16"/>
              </w:rPr>
              <w:t>Operacional</w:t>
            </w:r>
          </w:p>
        </w:tc>
        <w:tc>
          <w:tcPr>
            <w:tcW w:type="dxa" w:w="7030"/>
            <w:tcMar>
              <w:top w:w="70" w:type="dxa"/>
              <w:start w:w="80" w:type="dxa"/>
              <w:bottom w:w="70" w:type="dxa"/>
              <w:end w:w="80" w:type="dxa"/>
            </w:tcMar>
            <w:shd w:fill="F8FAFD"/>
            <w:vAlign w:val="top"/>
          </w:tcPr>
          <w:p>
            <w:r>
              <w:rPr>
                <w:color w:val="1C2434"/>
                <w:sz w:val="16"/>
              </w:rPr>
              <w:t>Origem e destino dos fluxos, necessidade de high ticket, payout, cripto, internacional, subcontas, marketplace e terceiros beneficiários.</w:t>
            </w:r>
          </w:p>
        </w:tc>
      </w:tr>
    </w:tbl>
    <w:p>
      <w:pPr>
        <w:spacing w:after="0"/>
      </w:pPr>
    </w:p>
    <w:p>
      <w:pPr>
        <w:pStyle w:val="Heading1"/>
      </w:pPr>
      <w:r>
        <w:t>10. Beneficiário final, controle e estruturas complexas</w:t>
      </w:r>
    </w:p>
    <w:p>
      <w:r>
        <w:rPr>
          <w:b w:val="0"/>
        </w:rPr>
        <w:t>A Nuvra deve identificar a pessoa natural que, direta ou indiretamente, possui, controla ou exerce influência significativa sobre a entidade. Como parâmetro de referência, a análise pode considerar participação societária relevante e deve utilizar limiar mais conservador quando o cliente apresentar risco elevado, sempre observando as normas aplicáveis e a realidade de controle efetivo.</w:t>
      </w:r>
    </w:p>
    <w:p>
      <w:pPr>
        <w:pStyle w:val="ListBullet"/>
        <w:spacing w:after="40"/>
      </w:pPr>
      <w:r>
        <w:t>Mapear a cadeia societária até pessoa natural, evitando parar em holdings intermediárias sem justificativa.</w:t>
      </w:r>
    </w:p>
    <w:p>
      <w:pPr>
        <w:pStyle w:val="ListBullet"/>
        <w:spacing w:after="40"/>
      </w:pPr>
      <w:r>
        <w:t>Identificar controle por acordo de sócios, direito de veto, poder de nomeação, procuração ampla ou influência dominante, mesmo sem participação majoritária.</w:t>
      </w:r>
    </w:p>
    <w:p>
      <w:pPr>
        <w:pStyle w:val="ListBullet"/>
        <w:spacing w:after="40"/>
      </w:pPr>
      <w:r>
        <w:t>Para estruturas estrangeiras, solicitar organograma, registro corporativo, UBO statement, NIF, passaporte e prova de endereço do beneficiário quando aplicável.</w:t>
      </w:r>
    </w:p>
    <w:p>
      <w:pPr>
        <w:pStyle w:val="ListBullet"/>
        <w:spacing w:after="40"/>
      </w:pPr>
      <w:r>
        <w:t>Estruturas com trusts, fundações privadas, nominee shareholders, sociedades em jurisdições de baixa transparência ou múltiplas camadas exigem EDD.</w:t>
      </w:r>
    </w:p>
    <w:p>
      <w:pPr>
        <w:pStyle w:val="ListBullet"/>
        <w:spacing w:after="40"/>
      </w:pPr>
      <w:r>
        <w:t>Inconsistência entre e-BEF, QSA, contrato social e declaração do cliente deve ser resolvida antes da aprovação.</w:t>
      </w:r>
    </w:p>
    <w:p>
      <w:pPr>
        <w:pStyle w:val="Heading1"/>
      </w:pPr>
      <w:r>
        <w:t>11. PEP, sanções e mídia adversa</w:t>
      </w:r>
    </w:p>
    <w:p>
      <w:r>
        <w:rPr>
          <w:b w:val="0"/>
        </w:rPr>
        <w:t>A condição de PEP não implica rejeição automática. Ela exige diligência compatível com o risco, compreensão de fonte de patrimônio e recursos quando necessária, aprovação adequada e monitoramento reforçado. A consulta deve alcançar, conforme exigido, o cliente, beneficiários finais, administradores, representantes e pessoas relacionadas relevantes.</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1984"/>
            <w:shd w:fill="071A52"/>
            <w:tcMar>
              <w:top w:w="90" w:type="dxa"/>
              <w:start w:w="90" w:type="dxa"/>
              <w:bottom w:w="90" w:type="dxa"/>
              <w:end w:w="90" w:type="dxa"/>
            </w:tcMar>
            <w:vAlign w:val="center"/>
          </w:tcPr>
          <w:p>
            <w:pPr>
              <w:jc w:val="left"/>
            </w:pPr>
            <w:r/>
            <w:r>
              <w:rPr>
                <w:b/>
                <w:color w:val="FFFFFF"/>
                <w:sz w:val="16"/>
              </w:rPr>
              <w:t>Controle</w:t>
            </w:r>
          </w:p>
        </w:tc>
        <w:tc>
          <w:tcPr>
            <w:tcW w:type="dxa" w:w="7087"/>
            <w:shd w:fill="071A52"/>
            <w:tcMar>
              <w:top w:w="90" w:type="dxa"/>
              <w:start w:w="90" w:type="dxa"/>
              <w:bottom w:w="90" w:type="dxa"/>
              <w:end w:w="90" w:type="dxa"/>
            </w:tcMar>
            <w:vAlign w:val="center"/>
          </w:tcPr>
          <w:p>
            <w:pPr>
              <w:jc w:val="left"/>
            </w:pPr>
            <w:r/>
            <w:r>
              <w:rPr>
                <w:b/>
                <w:color w:val="FFFFFF"/>
                <w:sz w:val="16"/>
              </w:rPr>
              <w:t>Procedimento</w:t>
            </w:r>
          </w:p>
        </w:tc>
      </w:tr>
      <w:tr>
        <w:trPr>
          <w:cantSplit/>
        </w:trPr>
        <w:tc>
          <w:tcPr>
            <w:tcW w:type="dxa" w:w="1984"/>
            <w:tcMar>
              <w:top w:w="70" w:type="dxa"/>
              <w:start w:w="80" w:type="dxa"/>
              <w:bottom w:w="70" w:type="dxa"/>
              <w:end w:w="80" w:type="dxa"/>
            </w:tcMar>
            <w:vAlign w:val="top"/>
          </w:tcPr>
          <w:p>
            <w:r>
              <w:rPr>
                <w:color w:val="1C2434"/>
                <w:sz w:val="16"/>
              </w:rPr>
              <w:t>PEP</w:t>
            </w:r>
          </w:p>
        </w:tc>
        <w:tc>
          <w:tcPr>
            <w:tcW w:type="dxa" w:w="7087"/>
            <w:tcMar>
              <w:top w:w="70" w:type="dxa"/>
              <w:start w:w="80" w:type="dxa"/>
              <w:bottom w:w="70" w:type="dxa"/>
              <w:end w:w="80" w:type="dxa"/>
            </w:tcMar>
            <w:vAlign w:val="top"/>
          </w:tcPr>
          <w:p>
            <w:r>
              <w:rPr>
                <w:color w:val="1C2434"/>
                <w:sz w:val="16"/>
              </w:rPr>
              <w:t>Screening no onboarding e re-screening periódico; tratar histórico recente conforme janela regulatória aplicável.</w:t>
            </w:r>
          </w:p>
        </w:tc>
      </w:tr>
      <w:tr>
        <w:trPr>
          <w:cantSplit/>
        </w:trPr>
        <w:tc>
          <w:tcPr>
            <w:tcW w:type="dxa" w:w="1984"/>
            <w:tcMar>
              <w:top w:w="70" w:type="dxa"/>
              <w:start w:w="80" w:type="dxa"/>
              <w:bottom w:w="70" w:type="dxa"/>
              <w:end w:w="80" w:type="dxa"/>
            </w:tcMar>
            <w:shd w:fill="F8FAFD"/>
            <w:vAlign w:val="top"/>
          </w:tcPr>
          <w:p>
            <w:r>
              <w:rPr>
                <w:color w:val="1C2434"/>
                <w:sz w:val="16"/>
              </w:rPr>
              <w:t>Sanções ONU</w:t>
            </w:r>
          </w:p>
        </w:tc>
        <w:tc>
          <w:tcPr>
            <w:tcW w:type="dxa" w:w="7087"/>
            <w:tcMar>
              <w:top w:w="70" w:type="dxa"/>
              <w:start w:w="80" w:type="dxa"/>
              <w:bottom w:w="70" w:type="dxa"/>
              <w:end w:w="80" w:type="dxa"/>
            </w:tcMar>
            <w:shd w:fill="F8FAFD"/>
            <w:vAlign w:val="top"/>
          </w:tcPr>
          <w:p>
            <w:r>
              <w:rPr>
                <w:color w:val="1C2434"/>
                <w:sz w:val="16"/>
              </w:rPr>
              <w:t>Screening contínuo contra listas aplicáveis; potencial match é escalado imediatamente e não deve ser comunicado ao cliente antes de orientação do Compliance/Jurídico.</w:t>
            </w:r>
          </w:p>
        </w:tc>
      </w:tr>
      <w:tr>
        <w:trPr>
          <w:cantSplit/>
        </w:trPr>
        <w:tc>
          <w:tcPr>
            <w:tcW w:type="dxa" w:w="1984"/>
            <w:tcMar>
              <w:top w:w="70" w:type="dxa"/>
              <w:start w:w="80" w:type="dxa"/>
              <w:bottom w:w="70" w:type="dxa"/>
              <w:end w:w="80" w:type="dxa"/>
            </w:tcMar>
            <w:vAlign w:val="top"/>
          </w:tcPr>
          <w:p>
            <w:r>
              <w:rPr>
                <w:color w:val="1C2434"/>
                <w:sz w:val="16"/>
              </w:rPr>
              <w:t>Outras sanções</w:t>
            </w:r>
          </w:p>
        </w:tc>
        <w:tc>
          <w:tcPr>
            <w:tcW w:type="dxa" w:w="7087"/>
            <w:tcMar>
              <w:top w:w="70" w:type="dxa"/>
              <w:start w:w="80" w:type="dxa"/>
              <w:bottom w:w="70" w:type="dxa"/>
              <w:end w:w="80" w:type="dxa"/>
            </w:tcMar>
            <w:vAlign w:val="top"/>
          </w:tcPr>
          <w:p>
            <w:r>
              <w:rPr>
                <w:color w:val="1C2434"/>
                <w:sz w:val="16"/>
              </w:rPr>
              <w:t>Listas estrangeiras podem ser usadas como sinal de risco e exigência contratual, observando legalidade, exposição da Nuvra e parceiro.</w:t>
            </w:r>
          </w:p>
        </w:tc>
      </w:tr>
      <w:tr>
        <w:trPr>
          <w:cantSplit/>
        </w:trPr>
        <w:tc>
          <w:tcPr>
            <w:tcW w:type="dxa" w:w="1984"/>
            <w:tcMar>
              <w:top w:w="70" w:type="dxa"/>
              <w:start w:w="80" w:type="dxa"/>
              <w:bottom w:w="70" w:type="dxa"/>
              <w:end w:w="80" w:type="dxa"/>
            </w:tcMar>
            <w:shd w:fill="F8FAFD"/>
            <w:vAlign w:val="top"/>
          </w:tcPr>
          <w:p>
            <w:r>
              <w:rPr>
                <w:color w:val="1C2434"/>
                <w:sz w:val="16"/>
              </w:rPr>
              <w:t>Mídia adversa</w:t>
            </w:r>
          </w:p>
        </w:tc>
        <w:tc>
          <w:tcPr>
            <w:tcW w:type="dxa" w:w="7087"/>
            <w:tcMar>
              <w:top w:w="70" w:type="dxa"/>
              <w:start w:w="80" w:type="dxa"/>
              <w:bottom w:w="70" w:type="dxa"/>
              <w:end w:w="80" w:type="dxa"/>
            </w:tcMar>
            <w:shd w:fill="F8FAFD"/>
            <w:vAlign w:val="top"/>
          </w:tcPr>
          <w:p>
            <w:r>
              <w:rPr>
                <w:color w:val="1C2434"/>
                <w:sz w:val="16"/>
              </w:rPr>
              <w:t>Pesquisar fraude, corrupção, lavagem, crime organizado, golpe, pirâmide, tráfico, ransomware, evasão de sanções, falência fraudulenta e outros ilícitos relevantes.</w:t>
            </w:r>
          </w:p>
        </w:tc>
      </w:tr>
      <w:tr>
        <w:trPr>
          <w:cantSplit/>
        </w:trPr>
        <w:tc>
          <w:tcPr>
            <w:tcW w:type="dxa" w:w="1984"/>
            <w:tcMar>
              <w:top w:w="70" w:type="dxa"/>
              <w:start w:w="80" w:type="dxa"/>
              <w:bottom w:w="70" w:type="dxa"/>
              <w:end w:w="80" w:type="dxa"/>
            </w:tcMar>
            <w:vAlign w:val="top"/>
          </w:tcPr>
          <w:p>
            <w:r>
              <w:rPr>
                <w:color w:val="1C2434"/>
                <w:sz w:val="16"/>
              </w:rPr>
              <w:t>Homônimos</w:t>
            </w:r>
          </w:p>
        </w:tc>
        <w:tc>
          <w:tcPr>
            <w:tcW w:type="dxa" w:w="7087"/>
            <w:tcMar>
              <w:top w:w="70" w:type="dxa"/>
              <w:start w:w="80" w:type="dxa"/>
              <w:bottom w:w="70" w:type="dxa"/>
              <w:end w:w="80" w:type="dxa"/>
            </w:tcMar>
            <w:vAlign w:val="top"/>
          </w:tcPr>
          <w:p>
            <w:r>
              <w:rPr>
                <w:color w:val="1C2434"/>
                <w:sz w:val="16"/>
              </w:rPr>
              <w:t>Nenhuma decisão deve ocorrer apenas por similaridade de nome. Exigir validação de identificadores e evidências.</w:t>
            </w:r>
          </w:p>
        </w:tc>
      </w:tr>
    </w:tbl>
    <w:p>
      <w:pPr>
        <w:spacing w:after="0"/>
      </w:pPr>
    </w:p>
    <w:p>
      <w:pPr>
        <w:pStyle w:val="Heading1"/>
      </w:pPr>
      <w:r>
        <w:t>12. Diligência Reforçada - EDD</w:t>
      </w:r>
    </w:p>
    <w:p>
      <w:r>
        <w:rPr>
          <w:b w:val="0"/>
        </w:rPr>
        <w:t>EDD é obrigatória quando a combinação de fatores elevar materialmente o risco. O dossiê deve registrar o motivo, documentos adicionais, análise econômica e aprovação.</w:t>
      </w:r>
    </w:p>
    <w:p>
      <w:pPr>
        <w:pStyle w:val="ListBullet"/>
        <w:spacing w:after="40"/>
      </w:pPr>
      <w:r>
        <w:t>PEP relevante, sanções não proibitivas, exposição reputacional material ou relação com jurisdição de maior risco.</w:t>
      </w:r>
    </w:p>
    <w:p>
      <w:pPr>
        <w:pStyle w:val="ListBullet"/>
        <w:spacing w:after="40"/>
      </w:pPr>
      <w:r>
        <w:t>Estrutura societária complexa, offshore, trust, beneficiário final difícil de comprovar ou frequentes alterações societárias.</w:t>
      </w:r>
    </w:p>
    <w:p>
      <w:pPr>
        <w:pStyle w:val="ListBullet"/>
        <w:spacing w:after="40"/>
      </w:pPr>
      <w:r>
        <w:t>Operação high ticket sem histórico, crescimento abrupto, payout para terceiros ou grande volume de transações internacionais.</w:t>
      </w:r>
    </w:p>
    <w:p>
      <w:pPr>
        <w:pStyle w:val="ListBullet"/>
        <w:spacing w:after="40"/>
      </w:pPr>
      <w:r>
        <w:t>Atividade com ativos virtuais, self-hosted wallets, bridges, mixers, protocolos de privacidade ou contraparte de risco elevado.</w:t>
      </w:r>
    </w:p>
    <w:p>
      <w:pPr>
        <w:pStyle w:val="ListBullet"/>
        <w:spacing w:after="40"/>
      </w:pPr>
      <w:r>
        <w:t>Setor sujeito a licença, alto índice de fraude, chargeback, golpe ou uso intensivo de intermediários.</w:t>
      </w:r>
    </w:p>
    <w:p>
      <w:pPr>
        <w:pStyle w:val="ListBullet"/>
        <w:spacing w:after="40"/>
      </w:pPr>
      <w:r>
        <w:t>Divergência entre faturamento, declaração, capacidade financeira e fluxo observado.</w:t>
      </w:r>
    </w:p>
    <w:tbl>
      <w:tblPr>
        <w:tblW w:type="auto" w:w="0"/>
        <w:jc w:val="center"/>
        <w:tblLook w:firstColumn="1" w:firstRow="1" w:lastColumn="0" w:lastRow="0" w:noHBand="0" w:noVBand="1" w:val="04A0"/>
      </w:tblPr>
      <w:tblGrid>
        <w:gridCol w:w="9972"/>
      </w:tblGrid>
      <w:tr>
        <w:tc>
          <w:tcPr>
            <w:tcW w:type="dxa" w:w="9972"/>
            <w:shd w:fill="F5F3FF"/>
            <w:tcMar>
              <w:top w:w="130" w:type="dxa"/>
              <w:start w:w="140" w:type="dxa"/>
              <w:bottom w:w="130" w:type="dxa"/>
              <w:end w:w="140" w:type="dxa"/>
            </w:tcMar>
          </w:tcPr>
          <w:p>
            <w:r>
              <w:rPr>
                <w:b/>
                <w:color w:val="6D28D9"/>
                <w:sz w:val="19"/>
              </w:rPr>
              <w:t>EDD mínima</w:t>
              <w:br/>
            </w:r>
            <w:r>
              <w:rPr>
                <w:color w:val="1C2434"/>
                <w:sz w:val="17"/>
              </w:rPr>
              <w:t>A diligência reforçada pode incluir origem de recursos e patrimônio, extratos, balanço/DRE, contratos, invoices, comprovação de venda, licença, organograma societário, identificação de contrapartes, prova de titularidade de carteira ou conta e entrevista de validação com o responsável da empresa.</w:t>
            </w:r>
          </w:p>
        </w:tc>
      </w:tr>
    </w:tbl>
    <w:p>
      <w:pPr>
        <w:spacing w:after="0"/>
      </w:pPr>
    </w:p>
    <w:p>
      <w:pPr>
        <w:pStyle w:val="Heading1"/>
      </w:pPr>
      <w:r>
        <w:t>13. Monitoramento transacional e KYT</w:t>
      </w:r>
    </w:p>
    <w:p>
      <w:r>
        <w:rPr>
          <w:b w:val="0"/>
        </w:rPr>
        <w:t>A Nuvra deve monitorar tentativas e operações concluídas de forma contínua, combinando regras em tempo real, análise pós-evento, comportamento histórico e inteligência de risco. Os cenários devem ser calibrados para reduzir falsos positivos sem reduzir a capacidade de detecção.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1984"/>
            <w:shd w:fill="071A52"/>
            <w:tcMar>
              <w:top w:w="90" w:type="dxa"/>
              <w:start w:w="90" w:type="dxa"/>
              <w:bottom w:w="90" w:type="dxa"/>
              <w:end w:w="90" w:type="dxa"/>
            </w:tcMar>
            <w:vAlign w:val="center"/>
          </w:tcPr>
          <w:p>
            <w:pPr>
              <w:jc w:val="left"/>
            </w:pPr>
            <w:r/>
            <w:r>
              <w:rPr>
                <w:b/>
                <w:color w:val="FFFFFF"/>
                <w:sz w:val="16"/>
              </w:rPr>
              <w:t>Dimensão</w:t>
            </w:r>
          </w:p>
        </w:tc>
        <w:tc>
          <w:tcPr>
            <w:tcW w:type="dxa" w:w="7087"/>
            <w:shd w:fill="071A52"/>
            <w:tcMar>
              <w:top w:w="90" w:type="dxa"/>
              <w:start w:w="90" w:type="dxa"/>
              <w:bottom w:w="90" w:type="dxa"/>
              <w:end w:w="90" w:type="dxa"/>
            </w:tcMar>
            <w:vAlign w:val="center"/>
          </w:tcPr>
          <w:p>
            <w:pPr>
              <w:jc w:val="left"/>
            </w:pPr>
            <w:r/>
            <w:r>
              <w:rPr>
                <w:b/>
                <w:color w:val="FFFFFF"/>
                <w:sz w:val="16"/>
              </w:rPr>
              <w:t>Exemplos de cenário</w:t>
            </w:r>
          </w:p>
        </w:tc>
      </w:tr>
      <w:tr>
        <w:trPr>
          <w:cantSplit/>
        </w:trPr>
        <w:tc>
          <w:tcPr>
            <w:tcW w:type="dxa" w:w="1984"/>
            <w:tcMar>
              <w:top w:w="70" w:type="dxa"/>
              <w:start w:w="80" w:type="dxa"/>
              <w:bottom w:w="70" w:type="dxa"/>
              <w:end w:w="80" w:type="dxa"/>
            </w:tcMar>
            <w:vAlign w:val="top"/>
          </w:tcPr>
          <w:p>
            <w:r>
              <w:rPr>
                <w:color w:val="1C2434"/>
                <w:sz w:val="16"/>
              </w:rPr>
              <w:t>Valor e ticket</w:t>
            </w:r>
          </w:p>
        </w:tc>
        <w:tc>
          <w:tcPr>
            <w:tcW w:type="dxa" w:w="7087"/>
            <w:tcMar>
              <w:top w:w="70" w:type="dxa"/>
              <w:start w:w="80" w:type="dxa"/>
              <w:bottom w:w="70" w:type="dxa"/>
              <w:end w:w="80" w:type="dxa"/>
            </w:tcMar>
            <w:vAlign w:val="top"/>
          </w:tcPr>
          <w:p>
            <w:r>
              <w:rPr>
                <w:color w:val="1C2434"/>
                <w:sz w:val="16"/>
              </w:rPr>
              <w:t>Operação muito acima do ticket histórico, concentração em faixas específicas, valor incompatível com faturamento, alta frequência de high ticket.</w:t>
            </w:r>
          </w:p>
        </w:tc>
      </w:tr>
      <w:tr>
        <w:trPr>
          <w:cantSplit/>
        </w:trPr>
        <w:tc>
          <w:tcPr>
            <w:tcW w:type="dxa" w:w="1984"/>
            <w:tcMar>
              <w:top w:w="70" w:type="dxa"/>
              <w:start w:w="80" w:type="dxa"/>
              <w:bottom w:w="70" w:type="dxa"/>
              <w:end w:w="80" w:type="dxa"/>
            </w:tcMar>
            <w:shd w:fill="F8FAFD"/>
            <w:vAlign w:val="top"/>
          </w:tcPr>
          <w:p>
            <w:r>
              <w:rPr>
                <w:color w:val="1C2434"/>
                <w:sz w:val="16"/>
              </w:rPr>
              <w:t>Velocidade</w:t>
            </w:r>
          </w:p>
        </w:tc>
        <w:tc>
          <w:tcPr>
            <w:tcW w:type="dxa" w:w="7087"/>
            <w:tcMar>
              <w:top w:w="70" w:type="dxa"/>
              <w:start w:w="80" w:type="dxa"/>
              <w:bottom w:w="70" w:type="dxa"/>
              <w:end w:w="80" w:type="dxa"/>
            </w:tcMar>
            <w:shd w:fill="F8FAFD"/>
            <w:vAlign w:val="top"/>
          </w:tcPr>
          <w:p>
            <w:r>
              <w:rPr>
                <w:color w:val="1C2434"/>
                <w:sz w:val="16"/>
              </w:rPr>
              <w:t>Entrada e saída em minutos, saldo zerado continuamente, múltiplos payouts sucessivos ou explosão de volume em curto período.</w:t>
            </w:r>
          </w:p>
        </w:tc>
      </w:tr>
      <w:tr>
        <w:trPr>
          <w:cantSplit/>
        </w:trPr>
        <w:tc>
          <w:tcPr>
            <w:tcW w:type="dxa" w:w="1984"/>
            <w:tcMar>
              <w:top w:w="70" w:type="dxa"/>
              <w:start w:w="80" w:type="dxa"/>
              <w:bottom w:w="70" w:type="dxa"/>
              <w:end w:w="80" w:type="dxa"/>
            </w:tcMar>
            <w:vAlign w:val="top"/>
          </w:tcPr>
          <w:p>
            <w:r>
              <w:rPr>
                <w:color w:val="1C2434"/>
                <w:sz w:val="16"/>
              </w:rPr>
              <w:t>Estruturação</w:t>
            </w:r>
          </w:p>
        </w:tc>
        <w:tc>
          <w:tcPr>
            <w:tcW w:type="dxa" w:w="7087"/>
            <w:tcMar>
              <w:top w:w="70" w:type="dxa"/>
              <w:start w:w="80" w:type="dxa"/>
              <w:bottom w:w="70" w:type="dxa"/>
              <w:end w:w="80" w:type="dxa"/>
            </w:tcMar>
            <w:vAlign w:val="top"/>
          </w:tcPr>
          <w:p>
            <w:r>
              <w:rPr>
                <w:color w:val="1C2434"/>
                <w:sz w:val="16"/>
              </w:rPr>
              <w:t>Fracionamento de valores, múltiplos pagadores para um beneficiário, várias contas ligadas ao mesmo dispositivo ou IP.</w:t>
            </w:r>
          </w:p>
        </w:tc>
      </w:tr>
      <w:tr>
        <w:trPr>
          <w:cantSplit/>
        </w:trPr>
        <w:tc>
          <w:tcPr>
            <w:tcW w:type="dxa" w:w="1984"/>
            <w:tcMar>
              <w:top w:w="70" w:type="dxa"/>
              <w:start w:w="80" w:type="dxa"/>
              <w:bottom w:w="70" w:type="dxa"/>
              <w:end w:w="80" w:type="dxa"/>
            </w:tcMar>
            <w:shd w:fill="F8FAFD"/>
            <w:vAlign w:val="top"/>
          </w:tcPr>
          <w:p>
            <w:r>
              <w:rPr>
                <w:color w:val="1C2434"/>
                <w:sz w:val="16"/>
              </w:rPr>
              <w:t>Contrapartes</w:t>
            </w:r>
          </w:p>
        </w:tc>
        <w:tc>
          <w:tcPr>
            <w:tcW w:type="dxa" w:w="7087"/>
            <w:tcMar>
              <w:top w:w="70" w:type="dxa"/>
              <w:start w:w="80" w:type="dxa"/>
              <w:bottom w:w="70" w:type="dxa"/>
              <w:end w:w="80" w:type="dxa"/>
            </w:tcMar>
            <w:shd w:fill="F8FAFD"/>
            <w:vAlign w:val="top"/>
          </w:tcPr>
          <w:p>
            <w:r>
              <w:rPr>
                <w:color w:val="1C2434"/>
                <w:sz w:val="16"/>
              </w:rPr>
              <w:t>Recebimentos de terceiros não relacionados, payouts a múltiplos beneficiários, contas recém-abertas, beneficiários recorrentes em clientes diferentes.</w:t>
            </w:r>
          </w:p>
        </w:tc>
      </w:tr>
      <w:tr>
        <w:trPr>
          <w:cantSplit/>
        </w:trPr>
        <w:tc>
          <w:tcPr>
            <w:tcW w:type="dxa" w:w="1984"/>
            <w:tcMar>
              <w:top w:w="70" w:type="dxa"/>
              <w:start w:w="80" w:type="dxa"/>
              <w:bottom w:w="70" w:type="dxa"/>
              <w:end w:w="80" w:type="dxa"/>
            </w:tcMar>
            <w:vAlign w:val="top"/>
          </w:tcPr>
          <w:p>
            <w:r>
              <w:rPr>
                <w:color w:val="1C2434"/>
                <w:sz w:val="16"/>
              </w:rPr>
              <w:t>Geografia</w:t>
            </w:r>
          </w:p>
        </w:tc>
        <w:tc>
          <w:tcPr>
            <w:tcW w:type="dxa" w:w="7087"/>
            <w:tcMar>
              <w:top w:w="70" w:type="dxa"/>
              <w:start w:w="80" w:type="dxa"/>
              <w:bottom w:w="70" w:type="dxa"/>
              <w:end w:w="80" w:type="dxa"/>
            </w:tcMar>
            <w:vAlign w:val="top"/>
          </w:tcPr>
          <w:p>
            <w:r>
              <w:rPr>
                <w:color w:val="1C2434"/>
                <w:sz w:val="16"/>
              </w:rPr>
              <w:t>IPs, cartões, contas ou carteiras em países incompatíveis com a atividade declarada ou classificados como maior risco.</w:t>
            </w:r>
          </w:p>
        </w:tc>
      </w:tr>
      <w:tr>
        <w:trPr>
          <w:cantSplit/>
        </w:trPr>
        <w:tc>
          <w:tcPr>
            <w:tcW w:type="dxa" w:w="1984"/>
            <w:tcMar>
              <w:top w:w="70" w:type="dxa"/>
              <w:start w:w="80" w:type="dxa"/>
              <w:bottom w:w="70" w:type="dxa"/>
              <w:end w:w="80" w:type="dxa"/>
            </w:tcMar>
            <w:shd w:fill="F8FAFD"/>
            <w:vAlign w:val="top"/>
          </w:tcPr>
          <w:p>
            <w:r>
              <w:rPr>
                <w:color w:val="1C2434"/>
                <w:sz w:val="16"/>
              </w:rPr>
              <w:t>Comportamento</w:t>
            </w:r>
          </w:p>
        </w:tc>
        <w:tc>
          <w:tcPr>
            <w:tcW w:type="dxa" w:w="7087"/>
            <w:tcMar>
              <w:top w:w="70" w:type="dxa"/>
              <w:start w:w="80" w:type="dxa"/>
              <w:bottom w:w="70" w:type="dxa"/>
              <w:end w:w="80" w:type="dxa"/>
            </w:tcMar>
            <w:shd w:fill="F8FAFD"/>
            <w:vAlign w:val="top"/>
          </w:tcPr>
          <w:p>
            <w:r>
              <w:rPr>
                <w:color w:val="1C2434"/>
                <w:sz w:val="16"/>
              </w:rPr>
              <w:t>Mudança brusca de produto, horário, canal, ticket, moeda, ativo ou padrão de saque.</w:t>
            </w:r>
          </w:p>
        </w:tc>
      </w:tr>
      <w:tr>
        <w:trPr>
          <w:cantSplit/>
        </w:trPr>
        <w:tc>
          <w:tcPr>
            <w:tcW w:type="dxa" w:w="1984"/>
            <w:tcMar>
              <w:top w:w="70" w:type="dxa"/>
              <w:start w:w="80" w:type="dxa"/>
              <w:bottom w:w="70" w:type="dxa"/>
              <w:end w:w="80" w:type="dxa"/>
            </w:tcMar>
            <w:vAlign w:val="top"/>
          </w:tcPr>
          <w:p>
            <w:r>
              <w:rPr>
                <w:color w:val="1C2434"/>
                <w:sz w:val="16"/>
              </w:rPr>
              <w:t>Fraude</w:t>
            </w:r>
          </w:p>
        </w:tc>
        <w:tc>
          <w:tcPr>
            <w:tcW w:type="dxa" w:w="7087"/>
            <w:tcMar>
              <w:top w:w="70" w:type="dxa"/>
              <w:start w:w="80" w:type="dxa"/>
              <w:bottom w:w="70" w:type="dxa"/>
              <w:end w:w="80" w:type="dxa"/>
            </w:tcMar>
            <w:vAlign w:val="top"/>
          </w:tcPr>
          <w:p>
            <w:r>
              <w:rPr>
                <w:color w:val="1C2434"/>
                <w:sz w:val="16"/>
              </w:rPr>
              <w:t>Chargebacks, contestação, Pix devolvido, MED, conta comprometida, device farms, proxies, bots, engenharia social.</w:t>
            </w:r>
          </w:p>
        </w:tc>
      </w:tr>
      <w:tr>
        <w:trPr>
          <w:cantSplit/>
        </w:trPr>
        <w:tc>
          <w:tcPr>
            <w:tcW w:type="dxa" w:w="1984"/>
            <w:tcMar>
              <w:top w:w="70" w:type="dxa"/>
              <w:start w:w="80" w:type="dxa"/>
              <w:bottom w:w="70" w:type="dxa"/>
              <w:end w:w="80" w:type="dxa"/>
            </w:tcMar>
            <w:shd w:fill="F8FAFD"/>
            <w:vAlign w:val="top"/>
          </w:tcPr>
          <w:p>
            <w:r>
              <w:rPr>
                <w:color w:val="1C2434"/>
                <w:sz w:val="16"/>
              </w:rPr>
              <w:t>Cripto</w:t>
            </w:r>
          </w:p>
        </w:tc>
        <w:tc>
          <w:tcPr>
            <w:tcW w:type="dxa" w:w="7087"/>
            <w:tcMar>
              <w:top w:w="70" w:type="dxa"/>
              <w:start w:w="80" w:type="dxa"/>
              <w:bottom w:w="70" w:type="dxa"/>
              <w:end w:w="80" w:type="dxa"/>
            </w:tcMar>
            <w:shd w:fill="F8FAFD"/>
            <w:vAlign w:val="top"/>
          </w:tcPr>
          <w:p>
            <w:r>
              <w:rPr>
                <w:color w:val="1C2434"/>
                <w:sz w:val="16"/>
              </w:rPr>
              <w:t>Exposição a endereços sancionados, scams, darknet, ransomware, mixers, high-risk services, chain hopping e carteiras sem vínculo aparente.</w:t>
            </w:r>
          </w:p>
        </w:tc>
      </w:tr>
    </w:tbl>
    <w:p>
      <w:pPr>
        <w:spacing w:after="0"/>
      </w:pPr>
    </w:p>
    <w:p>
      <w:pPr>
        <w:pStyle w:val="Heading1"/>
      </w:pPr>
      <w:r>
        <w:t>14. Controles específicos para Pix, cartão e high ticket</w:t>
      </w:r>
    </w:p>
    <w:p>
      <w:r>
        <w:rPr>
          <w:b w:val="0"/>
        </w:rPr>
        <w:t>A proposta comercial da Nuvra pode contemplar operações de alto valor, mas aprovação transacional não deve ser tratada como dispensa de Compliance. High ticket exige maior precisão na validação do fundamento econômico e da legitimidade do pagador e beneficiário.</w:t>
      </w:r>
    </w:p>
    <w:p>
      <w:pPr>
        <w:pStyle w:val="ListBullet"/>
        <w:spacing w:after="40"/>
      </w:pPr>
      <w:r>
        <w:t>Definir perfil esperado por cliente: ticket médio, ticket máximo razoável, volume diário/mensal, principais produtos, geografia, canais e tipo de pagador.</w:t>
      </w:r>
    </w:p>
    <w:p>
      <w:pPr>
        <w:pStyle w:val="ListBullet"/>
        <w:spacing w:after="40"/>
      </w:pPr>
      <w:r>
        <w:t>Aplicar monitoramento adaptativo quando a transação exceder de forma material o padrão declarado ou histórico.</w:t>
      </w:r>
    </w:p>
    <w:p>
      <w:pPr>
        <w:pStyle w:val="ListBullet"/>
        <w:spacing w:after="40"/>
      </w:pPr>
      <w:r>
        <w:t>Validar documentos de suporte para casos selecionados: contrato, invoice, nota fiscal, pedido, prestação de serviço, comprovante de entrega ou evidência equivalente.</w:t>
      </w:r>
    </w:p>
    <w:p>
      <w:pPr>
        <w:pStyle w:val="ListBullet"/>
        <w:spacing w:after="40"/>
      </w:pPr>
      <w:r>
        <w:t>Monitorar repetição de pagadores, múltiplos cartões, cartões emitidos em geografia incompatível, velocidade e sinais de triangulação.</w:t>
      </w:r>
    </w:p>
    <w:p>
      <w:pPr>
        <w:pStyle w:val="ListBullet"/>
        <w:spacing w:after="40"/>
      </w:pPr>
      <w:r>
        <w:t>Em Pix, observar conta de origem, nome/CPF/CNPJ, devoluções, MED, contas de passagem, concentração em terceiros e padrões de fraude social.</w:t>
      </w:r>
    </w:p>
    <w:p>
      <w:pPr>
        <w:pStyle w:val="ListBullet"/>
        <w:spacing w:after="40"/>
      </w:pPr>
      <w:r>
        <w:t>Aumentos de limite devem considerar histórico limpo, estabilidade da operação, ausência de alertas materiais e documentação atualizada.</w:t>
      </w:r>
    </w:p>
    <w:p>
      <w:pPr>
        <w:pStyle w:val="Heading1"/>
      </w:pPr>
      <w:r>
        <w:t>15. Controles específicos para ativos virtuais e payouts cripto</w:t>
      </w:r>
    </w:p>
    <w:p>
      <w:r>
        <w:rPr>
          <w:b w:val="0"/>
        </w:rPr>
        <w:t>Quando a Nuvra oferecer ou integrar funcionalidades de payout, conversão ou transferência em ativos virtuais, o controle deve combinar KYC/KYB tradicional com KYT e inteligência de blockchain. A Nuvra deve definir contratualmente se atua como PSAV, correspondente tecnológico, integrador ou canal de acesso a PSAV parceira.</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098"/>
            <w:shd w:fill="071A52"/>
            <w:tcMar>
              <w:top w:w="90" w:type="dxa"/>
              <w:start w:w="90" w:type="dxa"/>
              <w:bottom w:w="90" w:type="dxa"/>
              <w:end w:w="90" w:type="dxa"/>
            </w:tcMar>
            <w:vAlign w:val="center"/>
          </w:tcPr>
          <w:p>
            <w:pPr>
              <w:jc w:val="left"/>
            </w:pPr>
            <w:r/>
            <w:r>
              <w:rPr>
                <w:b/>
                <w:color w:val="FFFFFF"/>
                <w:sz w:val="16"/>
              </w:rPr>
              <w:t>Etapa</w:t>
            </w:r>
          </w:p>
        </w:tc>
        <w:tc>
          <w:tcPr>
            <w:tcW w:type="dxa" w:w="6973"/>
            <w:shd w:fill="071A52"/>
            <w:tcMar>
              <w:top w:w="90" w:type="dxa"/>
              <w:start w:w="90" w:type="dxa"/>
              <w:bottom w:w="90" w:type="dxa"/>
              <w:end w:w="90" w:type="dxa"/>
            </w:tcMar>
            <w:vAlign w:val="center"/>
          </w:tcPr>
          <w:p>
            <w:pPr>
              <w:jc w:val="left"/>
            </w:pPr>
            <w:r/>
            <w:r>
              <w:rPr>
                <w:b/>
                <w:color w:val="FFFFFF"/>
                <w:sz w:val="16"/>
              </w:rPr>
              <w:t>Controle recomendado</w:t>
            </w:r>
          </w:p>
        </w:tc>
      </w:tr>
      <w:tr>
        <w:trPr>
          <w:cantSplit/>
        </w:trPr>
        <w:tc>
          <w:tcPr>
            <w:tcW w:type="dxa" w:w="2098"/>
            <w:tcMar>
              <w:top w:w="70" w:type="dxa"/>
              <w:start w:w="80" w:type="dxa"/>
              <w:bottom w:w="70" w:type="dxa"/>
              <w:end w:w="80" w:type="dxa"/>
            </w:tcMar>
            <w:vAlign w:val="top"/>
          </w:tcPr>
          <w:p>
            <w:r>
              <w:rPr>
                <w:color w:val="1C2434"/>
                <w:sz w:val="16"/>
              </w:rPr>
              <w:t>Ativo suportado</w:t>
            </w:r>
          </w:p>
        </w:tc>
        <w:tc>
          <w:tcPr>
            <w:tcW w:type="dxa" w:w="6973"/>
            <w:tcMar>
              <w:top w:w="70" w:type="dxa"/>
              <w:start w:w="80" w:type="dxa"/>
              <w:bottom w:w="70" w:type="dxa"/>
              <w:end w:w="80" w:type="dxa"/>
            </w:tcMar>
            <w:vAlign w:val="top"/>
          </w:tcPr>
          <w:p>
            <w:r>
              <w:rPr>
                <w:color w:val="1C2434"/>
                <w:sz w:val="16"/>
              </w:rPr>
              <w:t>Whitelist de ativos e redes aprovadas. Novos ativos passam por avaliação de risco, liquidez, governança, anonimato, sanções e capacidade de monitoramento.</w:t>
            </w:r>
          </w:p>
        </w:tc>
      </w:tr>
      <w:tr>
        <w:trPr>
          <w:cantSplit/>
        </w:trPr>
        <w:tc>
          <w:tcPr>
            <w:tcW w:type="dxa" w:w="2098"/>
            <w:tcMar>
              <w:top w:w="70" w:type="dxa"/>
              <w:start w:w="80" w:type="dxa"/>
              <w:bottom w:w="70" w:type="dxa"/>
              <w:end w:w="80" w:type="dxa"/>
            </w:tcMar>
            <w:shd w:fill="F8FAFD"/>
            <w:vAlign w:val="top"/>
          </w:tcPr>
          <w:p>
            <w:r>
              <w:rPr>
                <w:color w:val="1C2434"/>
                <w:sz w:val="16"/>
              </w:rPr>
              <w:t>Carteira de destino</w:t>
            </w:r>
          </w:p>
        </w:tc>
        <w:tc>
          <w:tcPr>
            <w:tcW w:type="dxa" w:w="6973"/>
            <w:tcMar>
              <w:top w:w="70" w:type="dxa"/>
              <w:start w:w="80" w:type="dxa"/>
              <w:bottom w:w="70" w:type="dxa"/>
              <w:end w:w="80" w:type="dxa"/>
            </w:tcMar>
            <w:shd w:fill="F8FAFD"/>
            <w:vAlign w:val="top"/>
          </w:tcPr>
          <w:p>
            <w:r>
              <w:rPr>
                <w:color w:val="1C2434"/>
                <w:sz w:val="16"/>
              </w:rPr>
              <w:t>Validação de endereço, rede, titularidade ou relação econômica quando necessário e screening blockchain antes do payout.</w:t>
            </w:r>
          </w:p>
        </w:tc>
      </w:tr>
      <w:tr>
        <w:trPr>
          <w:cantSplit/>
        </w:trPr>
        <w:tc>
          <w:tcPr>
            <w:tcW w:type="dxa" w:w="2098"/>
            <w:tcMar>
              <w:top w:w="70" w:type="dxa"/>
              <w:start w:w="80" w:type="dxa"/>
              <w:bottom w:w="70" w:type="dxa"/>
              <w:end w:w="80" w:type="dxa"/>
            </w:tcMar>
            <w:vAlign w:val="top"/>
          </w:tcPr>
          <w:p>
            <w:r>
              <w:rPr>
                <w:color w:val="1C2434"/>
                <w:sz w:val="16"/>
              </w:rPr>
              <w:t>Origem cripto</w:t>
            </w:r>
          </w:p>
        </w:tc>
        <w:tc>
          <w:tcPr>
            <w:tcW w:type="dxa" w:w="6973"/>
            <w:tcMar>
              <w:top w:w="70" w:type="dxa"/>
              <w:start w:w="80" w:type="dxa"/>
              <w:bottom w:w="70" w:type="dxa"/>
              <w:end w:w="80" w:type="dxa"/>
            </w:tcMar>
            <w:vAlign w:val="top"/>
          </w:tcPr>
          <w:p>
            <w:r>
              <w:rPr>
                <w:color w:val="1C2434"/>
                <w:sz w:val="16"/>
              </w:rPr>
              <w:t>Avaliar exposição histórica da carteira e origem dos fundos, especialmente em valores elevados ou risco aumentado.</w:t>
            </w:r>
          </w:p>
        </w:tc>
      </w:tr>
      <w:tr>
        <w:trPr>
          <w:cantSplit/>
        </w:trPr>
        <w:tc>
          <w:tcPr>
            <w:tcW w:type="dxa" w:w="2098"/>
            <w:tcMar>
              <w:top w:w="70" w:type="dxa"/>
              <w:start w:w="80" w:type="dxa"/>
              <w:bottom w:w="70" w:type="dxa"/>
              <w:end w:w="80" w:type="dxa"/>
            </w:tcMar>
            <w:shd w:fill="F8FAFD"/>
            <w:vAlign w:val="top"/>
          </w:tcPr>
          <w:p>
            <w:r>
              <w:rPr>
                <w:color w:val="1C2434"/>
                <w:sz w:val="16"/>
              </w:rPr>
              <w:t>Travel Rule</w:t>
            </w:r>
          </w:p>
        </w:tc>
        <w:tc>
          <w:tcPr>
            <w:tcW w:type="dxa" w:w="6973"/>
            <w:tcMar>
              <w:top w:w="70" w:type="dxa"/>
              <w:start w:w="80" w:type="dxa"/>
              <w:bottom w:w="70" w:type="dxa"/>
              <w:end w:w="80" w:type="dxa"/>
            </w:tcMar>
            <w:shd w:fill="F8FAFD"/>
            <w:vAlign w:val="top"/>
          </w:tcPr>
          <w:p>
            <w:r>
              <w:rPr>
                <w:color w:val="1C2434"/>
                <w:sz w:val="16"/>
              </w:rPr>
              <w:t>Capturar, preservar e transmitir informações de originador e beneficiário nos casos e formatos exigidos pela regulamentação aplicável e pelos parceiros regulados.</w:t>
            </w:r>
          </w:p>
        </w:tc>
      </w:tr>
      <w:tr>
        <w:trPr>
          <w:cantSplit/>
        </w:trPr>
        <w:tc>
          <w:tcPr>
            <w:tcW w:type="dxa" w:w="2098"/>
            <w:tcMar>
              <w:top w:w="70" w:type="dxa"/>
              <w:start w:w="80" w:type="dxa"/>
              <w:bottom w:w="70" w:type="dxa"/>
              <w:end w:w="80" w:type="dxa"/>
            </w:tcMar>
            <w:vAlign w:val="top"/>
          </w:tcPr>
          <w:p>
            <w:r>
              <w:rPr>
                <w:color w:val="1C2434"/>
                <w:sz w:val="16"/>
              </w:rPr>
              <w:t>Self-hosted wallet</w:t>
            </w:r>
          </w:p>
        </w:tc>
        <w:tc>
          <w:tcPr>
            <w:tcW w:type="dxa" w:w="6973"/>
            <w:tcMar>
              <w:top w:w="70" w:type="dxa"/>
              <w:start w:w="80" w:type="dxa"/>
              <w:bottom w:w="70" w:type="dxa"/>
              <w:end w:w="80" w:type="dxa"/>
            </w:tcMar>
            <w:vAlign w:val="top"/>
          </w:tcPr>
          <w:p>
            <w:r>
              <w:rPr>
                <w:color w:val="1C2434"/>
                <w:sz w:val="16"/>
              </w:rPr>
              <w:t>Permitida conforme risco e enquadramento, com EDD quando necessário, incluindo prova de controle da carteira e justificativa econômica.</w:t>
            </w:r>
          </w:p>
        </w:tc>
      </w:tr>
      <w:tr>
        <w:trPr>
          <w:cantSplit/>
        </w:trPr>
        <w:tc>
          <w:tcPr>
            <w:tcW w:type="dxa" w:w="2098"/>
            <w:tcMar>
              <w:top w:w="70" w:type="dxa"/>
              <w:start w:w="80" w:type="dxa"/>
              <w:bottom w:w="70" w:type="dxa"/>
              <w:end w:w="80" w:type="dxa"/>
            </w:tcMar>
            <w:shd w:fill="F8FAFD"/>
            <w:vAlign w:val="top"/>
          </w:tcPr>
          <w:p>
            <w:r>
              <w:rPr>
                <w:color w:val="1C2434"/>
                <w:sz w:val="16"/>
              </w:rPr>
              <w:t>Conversão moeda-cripto</w:t>
            </w:r>
          </w:p>
        </w:tc>
        <w:tc>
          <w:tcPr>
            <w:tcW w:type="dxa" w:w="6973"/>
            <w:tcMar>
              <w:top w:w="70" w:type="dxa"/>
              <w:start w:w="80" w:type="dxa"/>
              <w:bottom w:w="70" w:type="dxa"/>
              <w:end w:w="80" w:type="dxa"/>
            </w:tcMar>
            <w:shd w:fill="F8FAFD"/>
            <w:vAlign w:val="top"/>
          </w:tcPr>
          <w:p>
            <w:r>
              <w:rPr>
                <w:color w:val="1C2434"/>
                <w:sz w:val="16"/>
              </w:rPr>
              <w:t>Validar fonte dos recursos, coerência de preço, contraparte, liquidação e finalidade.</w:t>
            </w:r>
          </w:p>
        </w:tc>
      </w:tr>
      <w:tr>
        <w:trPr>
          <w:cantSplit/>
        </w:trPr>
        <w:tc>
          <w:tcPr>
            <w:tcW w:type="dxa" w:w="2098"/>
            <w:tcMar>
              <w:top w:w="70" w:type="dxa"/>
              <w:start w:w="80" w:type="dxa"/>
              <w:bottom w:w="70" w:type="dxa"/>
              <w:end w:w="80" w:type="dxa"/>
            </w:tcMar>
            <w:vAlign w:val="top"/>
          </w:tcPr>
          <w:p>
            <w:r>
              <w:rPr>
                <w:color w:val="1C2434"/>
                <w:sz w:val="16"/>
              </w:rPr>
              <w:t>Payout internacional</w:t>
            </w:r>
          </w:p>
        </w:tc>
        <w:tc>
          <w:tcPr>
            <w:tcW w:type="dxa" w:w="6973"/>
            <w:tcMar>
              <w:top w:w="70" w:type="dxa"/>
              <w:start w:w="80" w:type="dxa"/>
              <w:bottom w:w="70" w:type="dxa"/>
              <w:end w:w="80" w:type="dxa"/>
            </w:tcMar>
            <w:vAlign w:val="top"/>
          </w:tcPr>
          <w:p>
            <w:r>
              <w:rPr>
                <w:color w:val="1C2434"/>
                <w:sz w:val="16"/>
              </w:rPr>
              <w:t>Checar jurisdição, contraparte, beneficiário, finalidade, limites e regras de câmbio/capitais internacionais aplicáveis ao parceiro ou à Nuvra.</w:t>
            </w:r>
          </w:p>
        </w:tc>
      </w:tr>
      <w:tr>
        <w:trPr>
          <w:cantSplit/>
        </w:trPr>
        <w:tc>
          <w:tcPr>
            <w:tcW w:type="dxa" w:w="2098"/>
            <w:tcMar>
              <w:top w:w="70" w:type="dxa"/>
              <w:start w:w="80" w:type="dxa"/>
              <w:bottom w:w="70" w:type="dxa"/>
              <w:end w:w="80" w:type="dxa"/>
            </w:tcMar>
            <w:shd w:fill="F8FAFD"/>
            <w:vAlign w:val="top"/>
          </w:tcPr>
          <w:p>
            <w:r>
              <w:rPr>
                <w:color w:val="1C2434"/>
                <w:sz w:val="16"/>
              </w:rPr>
              <w:t>Alto risco blockchain</w:t>
            </w:r>
          </w:p>
        </w:tc>
        <w:tc>
          <w:tcPr>
            <w:tcW w:type="dxa" w:w="6973"/>
            <w:tcMar>
              <w:top w:w="70" w:type="dxa"/>
              <w:start w:w="80" w:type="dxa"/>
              <w:bottom w:w="70" w:type="dxa"/>
              <w:end w:w="80" w:type="dxa"/>
            </w:tcMar>
            <w:shd w:fill="F8FAFD"/>
            <w:vAlign w:val="top"/>
          </w:tcPr>
          <w:p>
            <w:r>
              <w:rPr>
                <w:color w:val="1C2434"/>
                <w:sz w:val="16"/>
              </w:rPr>
              <w:t>Bloquear ou escalar exposição relevante a sanções, ransomware, darknet, scam, mixers/tumblers, theft/hacks, child exploitation, terrorismo e outras tipologias ilícitas.</w:t>
            </w:r>
          </w:p>
        </w:tc>
      </w:tr>
    </w:tbl>
    <w:p>
      <w:pPr>
        <w:spacing w:after="0"/>
      </w:pPr>
    </w:p>
    <w:tbl>
      <w:tblPr>
        <w:tblW w:type="auto" w:w="0"/>
        <w:jc w:val="center"/>
        <w:tblLook w:firstColumn="1" w:firstRow="1" w:lastColumn="0" w:lastRow="0" w:noHBand="0" w:noVBand="1" w:val="04A0"/>
      </w:tblPr>
      <w:tblGrid>
        <w:gridCol w:w="9972"/>
      </w:tblGrid>
      <w:tr>
        <w:tc>
          <w:tcPr>
            <w:tcW w:type="dxa" w:w="9972"/>
            <w:shd w:fill="ECFDF5"/>
            <w:tcMar>
              <w:top w:w="130" w:type="dxa"/>
              <w:start w:w="140" w:type="dxa"/>
              <w:bottom w:w="130" w:type="dxa"/>
              <w:end w:w="140" w:type="dxa"/>
            </w:tcMar>
          </w:tcPr>
          <w:p>
            <w:r>
              <w:rPr>
                <w:b/>
                <w:color w:val="11B981"/>
                <w:sz w:val="19"/>
              </w:rPr>
              <w:t>Ponto crítico para Nuvra</w:t>
              <w:br/>
            </w:r>
            <w:r>
              <w:rPr>
                <w:color w:val="1C2434"/>
                <w:sz w:val="17"/>
              </w:rPr>
              <w:t>Cripto deve ser tratada como trilho financeiro adicional, não como mecanismo para reduzir rastreabilidade. Payout, conversão de moeda e liquidação internacional só devem ser liberados quando a origem, o destino e a finalidade forem suficientemente compreendidos e o parceiro regulado estiver claramente definido.</w:t>
            </w:r>
          </w:p>
        </w:tc>
      </w:tr>
    </w:tbl>
    <w:p>
      <w:pPr>
        <w:spacing w:after="0"/>
      </w:pPr>
    </w:p>
    <w:p>
      <w:pPr>
        <w:pStyle w:val="Heading1"/>
      </w:pPr>
      <w:r>
        <w:t>16. Prevenção a fraudes e segurança de conta</w:t>
      </w:r>
    </w:p>
    <w:p>
      <w:pPr>
        <w:pStyle w:val="ListBullet"/>
        <w:spacing w:after="40"/>
      </w:pPr>
      <w:r>
        <w:t>MFA para acesso administrativo e operações sensíveis; step-up authentication para alterações de conta, saque e mudança de carteira.</w:t>
      </w:r>
    </w:p>
    <w:p>
      <w:pPr>
        <w:pStyle w:val="ListBullet"/>
        <w:spacing w:after="40"/>
      </w:pPr>
      <w:r>
        <w:t>RBAC e princípio do menor privilégio para colaboradores, suporte, financeiro e desenvolvedores.</w:t>
      </w:r>
    </w:p>
    <w:p>
      <w:pPr>
        <w:pStyle w:val="ListBullet"/>
        <w:spacing w:after="40"/>
      </w:pPr>
      <w:r>
        <w:t>Detecção de takeover, troca de dispositivo, reset de senha, mudança brusca de IP, SIM swap quando disponível e comportamento automatizado.</w:t>
      </w:r>
    </w:p>
    <w:p>
      <w:pPr>
        <w:pStyle w:val="ListBullet"/>
        <w:spacing w:after="40"/>
      </w:pPr>
      <w:r>
        <w:t>Cooling period configurável para alteração de dados críticos e inclusão de novos beneficiários, conforme risco.</w:t>
      </w:r>
    </w:p>
    <w:p>
      <w:pPr>
        <w:pStyle w:val="ListBullet"/>
        <w:spacing w:after="40"/>
      </w:pPr>
      <w:r>
        <w:t>Logs imutáveis ou protegidos contra alteração indevida para autenticação, mudanças cadastrais, aprovações, saques, payouts e ações administrativas.</w:t>
      </w:r>
    </w:p>
    <w:p>
      <w:pPr>
        <w:pStyle w:val="ListBullet"/>
        <w:spacing w:after="40"/>
      </w:pPr>
      <w:r>
        <w:t>Limites e velocity rules por usuário, empresa, IP, device, cartão, chave Pix, conta bancária e carteira.</w:t>
      </w:r>
    </w:p>
    <w:p>
      <w:pPr>
        <w:pStyle w:val="Heading1"/>
      </w:pPr>
      <w:r>
        <w:t>17. Gestão de alertas, investigação e decisão</w:t>
      </w:r>
    </w:p>
    <w:p>
      <w:pPr>
        <w:pStyle w:val="ListNumber"/>
        <w:spacing w:after="40"/>
      </w:pPr>
      <w:r>
        <w:t>Geração do alerta por regra, modelo, lista, denúncia, parceiro, chargeback, MED, blockchain analytics ou revisão manual.</w:t>
      </w:r>
    </w:p>
    <w:p>
      <w:pPr>
        <w:pStyle w:val="ListNumber"/>
        <w:spacing w:after="40"/>
      </w:pPr>
      <w:r>
        <w:t>Triagem para validar materialidade, eliminar falsos positivos evidentes e priorizar risco.</w:t>
      </w:r>
    </w:p>
    <w:p>
      <w:pPr>
        <w:pStyle w:val="ListNumber"/>
        <w:spacing w:after="40"/>
      </w:pPr>
      <w:r>
        <w:t>Investigação com consulta ao dossiê, histórico, documentos, transações, contrapartes, device, blockchain e fontes externas legítimas.</w:t>
      </w:r>
    </w:p>
    <w:p>
      <w:pPr>
        <w:pStyle w:val="ListNumber"/>
        <w:spacing w:after="40"/>
      </w:pPr>
      <w:r>
        <w:t>Conclusão documentada: falso positivo, monitorar, solicitar informação, limitar, bloquear, recusar, encerrar ou escalar para comunicação.</w:t>
      </w:r>
    </w:p>
    <w:p>
      <w:pPr>
        <w:pStyle w:val="ListNumber"/>
        <w:spacing w:after="40"/>
      </w:pPr>
      <w:r>
        <w:t>Revisão por segundo nível nos casos de alto impacto, sanções, PEP de maior risco, encerramento e comunicações.</w:t>
      </w:r>
    </w:p>
    <w:p>
      <w:pPr>
        <w:pStyle w:val="ListNumber"/>
        <w:spacing w:after="40"/>
      </w:pPr>
      <w:r>
        <w:t>Registro da decisão e preservação do dossiê pelo prazo aplicável.</w:t>
      </w:r>
    </w:p>
    <w:p>
      <w:r>
        <w:rPr>
          <w:b w:val="0"/>
        </w:rPr>
        <w:t>O prazo interno para triagem e análise deve ser compatível com o risco e com os prazos regulatórios aplicáveis. Alertas críticos de sanções, fraude em curso, ransomware, terrorismo ou conta comprometida devem ser tratados de forma prioritária e, quando necessário, em tempo real.</w:t>
      </w:r>
    </w:p>
    <w:p>
      <w:pPr>
        <w:pStyle w:val="Heading1"/>
      </w:pPr>
      <w:r>
        <w:t>18. Comunicação de operações suspeitas e confidencialidade</w:t>
      </w:r>
    </w:p>
    <w:p>
      <w:r>
        <w:rPr>
          <w:b w:val="0"/>
        </w:rPr>
        <w:t>Quando a Nuvra for pessoa obrigada ou instituição sujeita a dever direto de comunicação, o responsável designado deve avaliar e efetuar as comunicações ao Coaf e demais autoridades nos casos e prazos aplicáveis. Quando a obrigação estiver com parceiro regulado, a Nuvra deve cooperar imediatamente, fornecer evidências e cumprir o fluxo contratual de escalonamento.</w:t>
      </w:r>
    </w:p>
    <w:p>
      <w:pPr>
        <w:pStyle w:val="ListBullet"/>
        <w:spacing w:after="40"/>
      </w:pPr>
      <w:r>
        <w:t>É proibido informar ao cliente que uma operação foi ou poderá ser comunicada, quando a legislação vedar esse tipo de aviso.</w:t>
      </w:r>
    </w:p>
    <w:p>
      <w:pPr>
        <w:pStyle w:val="ListBullet"/>
        <w:spacing w:after="40"/>
      </w:pPr>
      <w:r>
        <w:t>A decisão de comunicar deve se basear em elementos objetivos e análise do conjunto, não apenas em um único alerta isolado.</w:t>
      </w:r>
    </w:p>
    <w:p>
      <w:pPr>
        <w:pStyle w:val="ListBullet"/>
        <w:spacing w:after="40"/>
      </w:pPr>
      <w:r>
        <w:t>A inexistência de prova criminal não impede comunicação de suspeita quando houver elementos suficientes.</w:t>
      </w:r>
    </w:p>
    <w:p>
      <w:pPr>
        <w:pStyle w:val="ListBullet"/>
        <w:spacing w:after="40"/>
      </w:pPr>
      <w:r>
        <w:t>Dossiês de comunicação e análises devem ter acesso restrito e proteção reforçada.</w:t>
      </w:r>
    </w:p>
    <w:p>
      <w:pPr>
        <w:pStyle w:val="Heading1"/>
      </w:pPr>
      <w:r>
        <w:t>19. Sanções, bloqueios e indisponibilidade</w:t>
      </w:r>
    </w:p>
    <w:p>
      <w:r>
        <w:rPr>
          <w:b w:val="0"/>
        </w:rPr>
        <w:t>Potenciais correspondências com sanções obrigatórias devem gerar tratamento imediato. A confirmação deve considerar identificadores, não apenas nome. Quando legalmente aplicável, a indisponibilidade deve ocorrer sem demora e sem aviso prévio ao sancionado, seguindo a legislação e instruções do regulador, parceiro e Jurídico.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551"/>
            <w:shd w:fill="071A52"/>
            <w:tcMar>
              <w:top w:w="90" w:type="dxa"/>
              <w:start w:w="90" w:type="dxa"/>
              <w:bottom w:w="90" w:type="dxa"/>
              <w:end w:w="90" w:type="dxa"/>
            </w:tcMar>
            <w:vAlign w:val="center"/>
          </w:tcPr>
          <w:p>
            <w:pPr>
              <w:jc w:val="left"/>
            </w:pPr>
            <w:r/>
            <w:r>
              <w:rPr>
                <w:b/>
                <w:color w:val="FFFFFF"/>
                <w:sz w:val="16"/>
              </w:rPr>
              <w:t>Situação</w:t>
            </w:r>
          </w:p>
        </w:tc>
        <w:tc>
          <w:tcPr>
            <w:tcW w:type="dxa" w:w="6520"/>
            <w:shd w:fill="071A52"/>
            <w:tcMar>
              <w:top w:w="90" w:type="dxa"/>
              <w:start w:w="90" w:type="dxa"/>
              <w:bottom w:w="90" w:type="dxa"/>
              <w:end w:w="90" w:type="dxa"/>
            </w:tcMar>
            <w:vAlign w:val="center"/>
          </w:tcPr>
          <w:p>
            <w:pPr>
              <w:jc w:val="left"/>
            </w:pPr>
            <w:r/>
            <w:r>
              <w:rPr>
                <w:b/>
                <w:color w:val="FFFFFF"/>
                <w:sz w:val="16"/>
              </w:rPr>
              <w:t>Ação</w:t>
            </w:r>
          </w:p>
        </w:tc>
      </w:tr>
      <w:tr>
        <w:trPr>
          <w:cantSplit/>
        </w:trPr>
        <w:tc>
          <w:tcPr>
            <w:tcW w:type="dxa" w:w="2551"/>
            <w:tcMar>
              <w:top w:w="70" w:type="dxa"/>
              <w:start w:w="80" w:type="dxa"/>
              <w:bottom w:w="70" w:type="dxa"/>
              <w:end w:w="80" w:type="dxa"/>
            </w:tcMar>
            <w:vAlign w:val="top"/>
          </w:tcPr>
          <w:p>
            <w:r>
              <w:rPr>
                <w:color w:val="1C2434"/>
                <w:sz w:val="16"/>
              </w:rPr>
              <w:t>Match provável em lista obrigatória</w:t>
            </w:r>
          </w:p>
        </w:tc>
        <w:tc>
          <w:tcPr>
            <w:tcW w:type="dxa" w:w="6520"/>
            <w:tcMar>
              <w:top w:w="70" w:type="dxa"/>
              <w:start w:w="80" w:type="dxa"/>
              <w:bottom w:w="70" w:type="dxa"/>
              <w:end w:w="80" w:type="dxa"/>
            </w:tcMar>
            <w:vAlign w:val="top"/>
          </w:tcPr>
          <w:p>
            <w:r>
              <w:rPr>
                <w:color w:val="1C2434"/>
                <w:sz w:val="16"/>
              </w:rPr>
              <w:t>Suspender execução quando juridicamente permitido, escalar imediatamente a Compliance/Jurídico e validar identificadores.</w:t>
            </w:r>
          </w:p>
        </w:tc>
      </w:tr>
      <w:tr>
        <w:trPr>
          <w:cantSplit/>
        </w:trPr>
        <w:tc>
          <w:tcPr>
            <w:tcW w:type="dxa" w:w="2551"/>
            <w:tcMar>
              <w:top w:w="70" w:type="dxa"/>
              <w:start w:w="80" w:type="dxa"/>
              <w:bottom w:w="70" w:type="dxa"/>
              <w:end w:w="80" w:type="dxa"/>
            </w:tcMar>
            <w:shd w:fill="F8FAFD"/>
            <w:vAlign w:val="top"/>
          </w:tcPr>
          <w:p>
            <w:r>
              <w:rPr>
                <w:color w:val="1C2434"/>
                <w:sz w:val="16"/>
              </w:rPr>
              <w:t>Match confirmado</w:t>
            </w:r>
          </w:p>
        </w:tc>
        <w:tc>
          <w:tcPr>
            <w:tcW w:type="dxa" w:w="6520"/>
            <w:tcMar>
              <w:top w:w="70" w:type="dxa"/>
              <w:start w:w="80" w:type="dxa"/>
              <w:bottom w:w="70" w:type="dxa"/>
              <w:end w:w="80" w:type="dxa"/>
            </w:tcMar>
            <w:shd w:fill="F8FAFD"/>
            <w:vAlign w:val="top"/>
          </w:tcPr>
          <w:p>
            <w:r>
              <w:rPr>
                <w:color w:val="1C2434"/>
                <w:sz w:val="16"/>
              </w:rPr>
              <w:t>Cumprir bloqueio, indisponibilidade, reporte e demais medidas exigidas pela norma e pelo parceiro regulado.</w:t>
            </w:r>
          </w:p>
        </w:tc>
      </w:tr>
      <w:tr>
        <w:trPr>
          <w:cantSplit/>
        </w:trPr>
        <w:tc>
          <w:tcPr>
            <w:tcW w:type="dxa" w:w="2551"/>
            <w:tcMar>
              <w:top w:w="70" w:type="dxa"/>
              <w:start w:w="80" w:type="dxa"/>
              <w:bottom w:w="70" w:type="dxa"/>
              <w:end w:w="80" w:type="dxa"/>
            </w:tcMar>
            <w:vAlign w:val="top"/>
          </w:tcPr>
          <w:p>
            <w:r>
              <w:rPr>
                <w:color w:val="1C2434"/>
                <w:sz w:val="16"/>
              </w:rPr>
              <w:t>Falso positivo</w:t>
            </w:r>
          </w:p>
        </w:tc>
        <w:tc>
          <w:tcPr>
            <w:tcW w:type="dxa" w:w="6520"/>
            <w:tcMar>
              <w:top w:w="70" w:type="dxa"/>
              <w:start w:w="80" w:type="dxa"/>
              <w:bottom w:w="70" w:type="dxa"/>
              <w:end w:w="80" w:type="dxa"/>
            </w:tcMar>
            <w:vAlign w:val="top"/>
          </w:tcPr>
          <w:p>
            <w:r>
              <w:rPr>
                <w:color w:val="1C2434"/>
                <w:sz w:val="16"/>
              </w:rPr>
              <w:t>Documentar evidências e liberar conforme alçada.</w:t>
            </w:r>
          </w:p>
        </w:tc>
      </w:tr>
      <w:tr>
        <w:trPr>
          <w:cantSplit/>
        </w:trPr>
        <w:tc>
          <w:tcPr>
            <w:tcW w:type="dxa" w:w="2551"/>
            <w:tcMar>
              <w:top w:w="70" w:type="dxa"/>
              <w:start w:w="80" w:type="dxa"/>
              <w:bottom w:w="70" w:type="dxa"/>
              <w:end w:w="80" w:type="dxa"/>
            </w:tcMar>
            <w:shd w:fill="F8FAFD"/>
            <w:vAlign w:val="top"/>
          </w:tcPr>
          <w:p>
            <w:r>
              <w:rPr>
                <w:color w:val="1C2434"/>
                <w:sz w:val="16"/>
              </w:rPr>
              <w:t>Sanção estrangeira não obrigatória</w:t>
            </w:r>
          </w:p>
        </w:tc>
        <w:tc>
          <w:tcPr>
            <w:tcW w:type="dxa" w:w="6520"/>
            <w:tcMar>
              <w:top w:w="70" w:type="dxa"/>
              <w:start w:w="80" w:type="dxa"/>
              <w:bottom w:w="70" w:type="dxa"/>
              <w:end w:w="80" w:type="dxa"/>
            </w:tcMar>
            <w:shd w:fill="F8FAFD"/>
            <w:vAlign w:val="top"/>
          </w:tcPr>
          <w:p>
            <w:r>
              <w:rPr>
                <w:color w:val="1C2434"/>
                <w:sz w:val="16"/>
              </w:rPr>
              <w:t>Avaliar exposição contratual, bancária, reputacional e regulatória antes de manter ou rejeitar relação.</w:t>
            </w:r>
          </w:p>
        </w:tc>
      </w:tr>
    </w:tbl>
    <w:p>
      <w:pPr>
        <w:spacing w:after="0"/>
      </w:pPr>
    </w:p>
    <w:p>
      <w:pPr>
        <w:pStyle w:val="Heading1"/>
      </w:pPr>
      <w:r>
        <w:t>20. Atividades proibidas e restritas</w:t>
      </w:r>
    </w:p>
    <w:p>
      <w:r>
        <w:rPr>
          <w:b w:val="0"/>
        </w:rPr>
        <w:t>A classificação abaixo é um padrão de risco. A lista deve ser ajustada ao contrato dos parceiros, às licenças e à estratégia da Nuvra.</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268"/>
            <w:shd w:fill="071A52"/>
            <w:tcMar>
              <w:top w:w="90" w:type="dxa"/>
              <w:start w:w="90" w:type="dxa"/>
              <w:bottom w:w="90" w:type="dxa"/>
              <w:end w:w="90" w:type="dxa"/>
            </w:tcMar>
            <w:vAlign w:val="center"/>
          </w:tcPr>
          <w:p>
            <w:pPr>
              <w:jc w:val="left"/>
            </w:pPr>
            <w:r/>
            <w:r>
              <w:rPr>
                <w:b/>
                <w:color w:val="FFFFFF"/>
                <w:sz w:val="16"/>
              </w:rPr>
              <w:t>Categoria</w:t>
            </w:r>
          </w:p>
        </w:tc>
        <w:tc>
          <w:tcPr>
            <w:tcW w:type="dxa" w:w="6803"/>
            <w:shd w:fill="071A52"/>
            <w:tcMar>
              <w:top w:w="90" w:type="dxa"/>
              <w:start w:w="90" w:type="dxa"/>
              <w:bottom w:w="90" w:type="dxa"/>
              <w:end w:w="90" w:type="dxa"/>
            </w:tcMar>
            <w:vAlign w:val="center"/>
          </w:tcPr>
          <w:p>
            <w:pPr>
              <w:jc w:val="left"/>
            </w:pPr>
            <w:r/>
            <w:r>
              <w:rPr>
                <w:b/>
                <w:color w:val="FFFFFF"/>
                <w:sz w:val="16"/>
              </w:rPr>
              <w:t>Exemplos</w:t>
            </w:r>
          </w:p>
        </w:tc>
      </w:tr>
      <w:tr>
        <w:trPr>
          <w:cantSplit/>
        </w:trPr>
        <w:tc>
          <w:tcPr>
            <w:tcW w:type="dxa" w:w="2268"/>
            <w:tcMar>
              <w:top w:w="70" w:type="dxa"/>
              <w:start w:w="80" w:type="dxa"/>
              <w:bottom w:w="70" w:type="dxa"/>
              <w:end w:w="80" w:type="dxa"/>
            </w:tcMar>
            <w:vAlign w:val="top"/>
          </w:tcPr>
          <w:p>
            <w:r>
              <w:rPr>
                <w:color w:val="1C2434"/>
                <w:sz w:val="16"/>
              </w:rPr>
              <w:t>Proibidas</w:t>
            </w:r>
          </w:p>
        </w:tc>
        <w:tc>
          <w:tcPr>
            <w:tcW w:type="dxa" w:w="6803"/>
            <w:tcMar>
              <w:top w:w="70" w:type="dxa"/>
              <w:start w:w="80" w:type="dxa"/>
              <w:bottom w:w="70" w:type="dxa"/>
              <w:end w:w="80" w:type="dxa"/>
            </w:tcMar>
            <w:vAlign w:val="top"/>
          </w:tcPr>
          <w:p>
            <w:r>
              <w:rPr>
                <w:color w:val="1C2434"/>
                <w:sz w:val="16"/>
              </w:rPr>
              <w:t>Fraude, golpe, estelionato, lavagem, terrorismo, ransomware, darknet, tráfico, exploração sexual infantil, pirâmide/Ponzi, mercado ilícito de armas, produtos falsificados ilícitos, evasão de sanções, mixer/tumbler dedicado à ocultação, shell banks e atividade expressamente ilegal.</w:t>
            </w:r>
          </w:p>
        </w:tc>
      </w:tr>
      <w:tr>
        <w:trPr>
          <w:cantSplit/>
        </w:trPr>
        <w:tc>
          <w:tcPr>
            <w:tcW w:type="dxa" w:w="2268"/>
            <w:tcMar>
              <w:top w:w="70" w:type="dxa"/>
              <w:start w:w="80" w:type="dxa"/>
              <w:bottom w:w="70" w:type="dxa"/>
              <w:end w:w="80" w:type="dxa"/>
            </w:tcMar>
            <w:shd w:fill="F8FAFD"/>
            <w:vAlign w:val="top"/>
          </w:tcPr>
          <w:p>
            <w:r>
              <w:rPr>
                <w:color w:val="1C2434"/>
                <w:sz w:val="16"/>
              </w:rPr>
              <w:t>Restritas</w:t>
            </w:r>
          </w:p>
        </w:tc>
        <w:tc>
          <w:tcPr>
            <w:tcW w:type="dxa" w:w="6803"/>
            <w:tcMar>
              <w:top w:w="70" w:type="dxa"/>
              <w:start w:w="80" w:type="dxa"/>
              <w:bottom w:w="70" w:type="dxa"/>
              <w:end w:w="80" w:type="dxa"/>
            </w:tcMar>
            <w:shd w:fill="F8FAFD"/>
            <w:vAlign w:val="top"/>
          </w:tcPr>
          <w:p>
            <w:r>
              <w:rPr>
                <w:color w:val="1C2434"/>
                <w:sz w:val="16"/>
              </w:rPr>
              <w:t>Cripto, câmbio/remessa, betting/jogos, marketplaces com sellers, afiliados, suplementos/health claims, adult, doações/charity, importação de alto valor, ticketing, travel, dropshipping, serviços financeiros, operações com chargeback ou fraude elevados.</w:t>
            </w:r>
          </w:p>
        </w:tc>
      </w:tr>
      <w:tr>
        <w:trPr>
          <w:cantSplit/>
        </w:trPr>
        <w:tc>
          <w:tcPr>
            <w:tcW w:type="dxa" w:w="2268"/>
            <w:tcMar>
              <w:top w:w="70" w:type="dxa"/>
              <w:start w:w="80" w:type="dxa"/>
              <w:bottom w:w="70" w:type="dxa"/>
              <w:end w:w="80" w:type="dxa"/>
            </w:tcMar>
            <w:vAlign w:val="top"/>
          </w:tcPr>
          <w:p>
            <w:r>
              <w:rPr>
                <w:color w:val="1C2434"/>
                <w:sz w:val="16"/>
              </w:rPr>
              <w:t>Condicionadas a licença</w:t>
            </w:r>
          </w:p>
        </w:tc>
        <w:tc>
          <w:tcPr>
            <w:tcW w:type="dxa" w:w="6803"/>
            <w:tcMar>
              <w:top w:w="70" w:type="dxa"/>
              <w:start w:w="80" w:type="dxa"/>
              <w:bottom w:w="70" w:type="dxa"/>
              <w:end w:w="80" w:type="dxa"/>
            </w:tcMar>
            <w:vAlign w:val="top"/>
          </w:tcPr>
          <w:p>
            <w:r>
              <w:rPr>
                <w:color w:val="1C2434"/>
                <w:sz w:val="16"/>
              </w:rPr>
              <w:t>Setores em que a lei exige autorização ou registro. A licença deve ser validada antes da ativação do produto correspondente.</w:t>
            </w:r>
          </w:p>
        </w:tc>
      </w:tr>
    </w:tbl>
    <w:p>
      <w:pPr>
        <w:spacing w:after="0"/>
      </w:pPr>
    </w:p>
    <w:p>
      <w:pPr>
        <w:pStyle w:val="Heading1"/>
      </w:pPr>
      <w:r>
        <w:t>21. Due diligence de parceiros e terceiros</w:t>
      </w:r>
    </w:p>
    <w:p>
      <w:r>
        <w:rPr>
          <w:b w:val="0"/>
        </w:rPr>
        <w:t>Parceiros regulados e fornecedores críticos devem ser avaliados antes da contratação e periodicamente. A Nuvra não deve terceirizar a responsabilidade de governança sobre riscos que permaneçam sob seu controle.</w:t>
      </w:r>
    </w:p>
    <w:p>
      <w:pPr>
        <w:pStyle w:val="ListBullet"/>
        <w:spacing w:after="40"/>
      </w:pPr>
      <w:r>
        <w:t>Status regulatório, licenças e histórico de supervisão quando aplicável.</w:t>
      </w:r>
    </w:p>
    <w:p>
      <w:pPr>
        <w:pStyle w:val="ListBullet"/>
        <w:spacing w:after="40"/>
      </w:pPr>
      <w:r>
        <w:t>Políticas de PLD/FTP, KYC/KYB, sanções, fraude e segurança da informação.</w:t>
      </w:r>
    </w:p>
    <w:p>
      <w:pPr>
        <w:pStyle w:val="ListBullet"/>
        <w:spacing w:after="40"/>
      </w:pPr>
      <w:r>
        <w:t>Capacidade de fornecer evidências, logs, relatórios, webhooks e suporte a investigações.</w:t>
      </w:r>
    </w:p>
    <w:p>
      <w:pPr>
        <w:pStyle w:val="ListBullet"/>
        <w:spacing w:after="40"/>
      </w:pPr>
      <w:r>
        <w:t>SLA de incidentes, indisponibilidade, fraude, bloqueio e requisições regulatórias.</w:t>
      </w:r>
    </w:p>
    <w:p>
      <w:pPr>
        <w:pStyle w:val="ListBullet"/>
        <w:spacing w:after="40"/>
      </w:pPr>
      <w:r>
        <w:t>Subcontratados relevantes e localização de dados.</w:t>
      </w:r>
    </w:p>
    <w:p>
      <w:pPr>
        <w:pStyle w:val="ListBullet"/>
        <w:spacing w:after="40"/>
      </w:pPr>
      <w:r>
        <w:t>Testes de segurança, certificações, continuidade de negócios e plano de resposta a incidentes.</w:t>
      </w:r>
    </w:p>
    <w:p>
      <w:pPr>
        <w:pStyle w:val="ListBullet"/>
        <w:spacing w:after="40"/>
      </w:pPr>
      <w:r>
        <w:t>Cláusulas de auditoria, cooperação regulatória, confidencialidade, LGPD e encerramento.</w:t>
      </w:r>
    </w:p>
    <w:p>
      <w:pPr>
        <w:pStyle w:val="Heading1"/>
      </w:pPr>
      <w:r>
        <w:t>22. Proteção de dados e segurança da informação</w:t>
      </w:r>
    </w:p>
    <w:p>
      <w:pPr>
        <w:pStyle w:val="ListBullet"/>
        <w:spacing w:after="40"/>
      </w:pPr>
      <w:r>
        <w:t>Mapear bases legais para coleta e tratamento de dados de KYC/KYB, prevenção a fraude e obrigações regulatórias.</w:t>
      </w:r>
    </w:p>
    <w:p>
      <w:pPr>
        <w:pStyle w:val="ListBullet"/>
        <w:spacing w:after="40"/>
      </w:pPr>
      <w:r>
        <w:t>Minimizar coleta, separar ambientes, criptografar dados em trânsito e em repouso e controlar chaves de forma apropriada.</w:t>
      </w:r>
    </w:p>
    <w:p>
      <w:pPr>
        <w:pStyle w:val="ListBullet"/>
        <w:spacing w:after="40"/>
      </w:pPr>
      <w:r>
        <w:t>Aplicar RBAC, revisão periódica de acessos, MFA, segregação entre produção e desenvolvimento e monitoramento de atividades privilegiadas.</w:t>
      </w:r>
    </w:p>
    <w:p>
      <w:pPr>
        <w:pStyle w:val="ListBullet"/>
        <w:spacing w:after="40"/>
      </w:pPr>
      <w:r>
        <w:t>Executar gestão de vulnerabilidades, testes de segurança e resposta a incidentes de acordo com criticidade.</w:t>
      </w:r>
    </w:p>
    <w:p>
      <w:pPr>
        <w:pStyle w:val="ListBullet"/>
        <w:spacing w:after="40"/>
      </w:pPr>
      <w:r>
        <w:t>Definir prazos de retenção, descarte seguro e processo para exercício de direitos dos titulares sem comprometer obrigações legais de guarda.</w:t>
      </w:r>
    </w:p>
    <w:p>
      <w:pPr>
        <w:pStyle w:val="ListBullet"/>
        <w:spacing w:after="40"/>
      </w:pPr>
      <w:r>
        <w:t>Avaliar transferências internacionais de dados e fornecedores estrangeiros conforme LGPD e normas da ANPD.</w:t>
      </w:r>
    </w:p>
    <w:p>
      <w:pPr>
        <w:pStyle w:val="Heading1"/>
      </w:pPr>
      <w:r>
        <w:t>23. Conheça seu colaborador e conflito de interesses</w:t>
      </w:r>
    </w:p>
    <w:p>
      <w:r>
        <w:rPr>
          <w:b w:val="0"/>
        </w:rPr>
        <w:t>Cargos com acesso a dados, dinheiro, chaves, carteiras, configurações de risco ou aprovação devem estar sujeitos a controles de integridade proporcionais à função, respeitando a legislação trabalhista e de proteção de dados.</w:t>
      </w:r>
    </w:p>
    <w:p>
      <w:pPr>
        <w:pStyle w:val="ListBullet"/>
        <w:spacing w:after="40"/>
      </w:pPr>
      <w:r>
        <w:t>Verificação documental e histórico profissional compatível com a função.</w:t>
      </w:r>
    </w:p>
    <w:p>
      <w:pPr>
        <w:pStyle w:val="ListBullet"/>
        <w:spacing w:after="40"/>
      </w:pPr>
      <w:r>
        <w:t>Declaração de conflito de interesses e atividades externas relevantes.</w:t>
      </w:r>
    </w:p>
    <w:p>
      <w:pPr>
        <w:pStyle w:val="ListBullet"/>
        <w:spacing w:after="40"/>
      </w:pPr>
      <w:r>
        <w:t>Acesso apenas ao necessário e revogação imediata em desligamento ou mudança de função.</w:t>
      </w:r>
    </w:p>
    <w:p>
      <w:pPr>
        <w:pStyle w:val="ListBullet"/>
        <w:spacing w:after="40"/>
      </w:pPr>
      <w:r>
        <w:t>Treinamento inicial e anual em PLD/FTP, fraude, sanções, segurança e privacidade.</w:t>
      </w:r>
    </w:p>
    <w:p>
      <w:pPr>
        <w:pStyle w:val="ListBullet"/>
        <w:spacing w:after="40"/>
      </w:pPr>
      <w:r>
        <w:t>Canal de denúncia confidencial e proteção contra retaliação, quando aplicável.</w:t>
      </w:r>
    </w:p>
    <w:p>
      <w:pPr>
        <w:pStyle w:val="Heading1"/>
      </w:pPr>
      <w:r>
        <w:t>24. Governança de automação, IA e modelos de risco</w:t>
      </w:r>
    </w:p>
    <w:p>
      <w:pPr>
        <w:pStyle w:val="ListBullet"/>
        <w:spacing w:after="40"/>
      </w:pPr>
      <w:r>
        <w:t>Modelos de score, fraude, KYC e monitoramento devem ter proprietário, versão, lógica documentada e métricas de desempenho.</w:t>
      </w:r>
    </w:p>
    <w:p>
      <w:pPr>
        <w:pStyle w:val="ListBullet"/>
        <w:spacing w:after="40"/>
      </w:pPr>
      <w:r>
        <w:t>Alterações materiais exigem homologação, testes e possibilidade de rollback.</w:t>
      </w:r>
    </w:p>
    <w:p>
      <w:pPr>
        <w:pStyle w:val="ListBullet"/>
        <w:spacing w:after="40"/>
      </w:pPr>
      <w:r>
        <w:t>Decisões de alto impacto devem permitir revisão humana quando necessário, especialmente bloqueio, encerramento ou acusação reputacional.</w:t>
      </w:r>
    </w:p>
    <w:p>
      <w:pPr>
        <w:pStyle w:val="ListBullet"/>
        <w:spacing w:after="40"/>
      </w:pPr>
      <w:r>
        <w:t>Monitorar false positive rate, false negative indicators, drift, viés, cobertura e qualidade de dados.</w:t>
      </w:r>
    </w:p>
    <w:p>
      <w:pPr>
        <w:pStyle w:val="ListBullet"/>
        <w:spacing w:after="40"/>
      </w:pPr>
      <w:r>
        <w:t>Não utilizar modelos generativos como única fonte para confirmar identidade, sanção, PEP ou ilícito.</w:t>
      </w:r>
    </w:p>
    <w:p>
      <w:pPr>
        <w:pStyle w:val="Heading1"/>
      </w:pPr>
      <w:r>
        <w:t>25. Registros, retenção e trilha de auditoria</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3288"/>
            <w:shd w:fill="071A52"/>
            <w:tcMar>
              <w:top w:w="90" w:type="dxa"/>
              <w:start w:w="90" w:type="dxa"/>
              <w:bottom w:w="90" w:type="dxa"/>
              <w:end w:w="90" w:type="dxa"/>
            </w:tcMar>
            <w:vAlign w:val="center"/>
          </w:tcPr>
          <w:p>
            <w:pPr>
              <w:jc w:val="left"/>
            </w:pPr>
            <w:r/>
            <w:r>
              <w:rPr>
                <w:b/>
                <w:color w:val="FFFFFF"/>
                <w:sz w:val="16"/>
              </w:rPr>
              <w:t>Registro</w:t>
            </w:r>
          </w:p>
        </w:tc>
        <w:tc>
          <w:tcPr>
            <w:tcW w:type="dxa" w:w="5783"/>
            <w:shd w:fill="071A52"/>
            <w:tcMar>
              <w:top w:w="90" w:type="dxa"/>
              <w:start w:w="90" w:type="dxa"/>
              <w:bottom w:w="90" w:type="dxa"/>
              <w:end w:w="90" w:type="dxa"/>
            </w:tcMar>
            <w:vAlign w:val="center"/>
          </w:tcPr>
          <w:p>
            <w:pPr>
              <w:jc w:val="left"/>
            </w:pPr>
            <w:r/>
            <w:r>
              <w:rPr>
                <w:b/>
                <w:color w:val="FFFFFF"/>
                <w:sz w:val="16"/>
              </w:rPr>
              <w:t>Prazo interno mínimo</w:t>
            </w:r>
          </w:p>
        </w:tc>
      </w:tr>
      <w:tr>
        <w:trPr>
          <w:cantSplit/>
        </w:trPr>
        <w:tc>
          <w:tcPr>
            <w:tcW w:type="dxa" w:w="3288"/>
            <w:tcMar>
              <w:top w:w="70" w:type="dxa"/>
              <w:start w:w="80" w:type="dxa"/>
              <w:bottom w:w="70" w:type="dxa"/>
              <w:end w:w="80" w:type="dxa"/>
            </w:tcMar>
            <w:vAlign w:val="top"/>
          </w:tcPr>
          <w:p>
            <w:r>
              <w:rPr>
                <w:color w:val="1C2434"/>
                <w:sz w:val="16"/>
              </w:rPr>
              <w:t>KYC/KYB, UBO, PEP e EDD</w:t>
            </w:r>
          </w:p>
        </w:tc>
        <w:tc>
          <w:tcPr>
            <w:tcW w:type="dxa" w:w="5783"/>
            <w:tcMar>
              <w:top w:w="70" w:type="dxa"/>
              <w:start w:w="80" w:type="dxa"/>
              <w:bottom w:w="70" w:type="dxa"/>
              <w:end w:w="80" w:type="dxa"/>
            </w:tcMar>
            <w:vAlign w:val="top"/>
          </w:tcPr>
          <w:p>
            <w:r>
              <w:rPr>
                <w:color w:val="1C2434"/>
                <w:sz w:val="16"/>
              </w:rPr>
              <w:t>10 anos após encerramento, ou prazo superior exigido por norma aplicável.</w:t>
            </w:r>
          </w:p>
        </w:tc>
      </w:tr>
      <w:tr>
        <w:trPr>
          <w:cantSplit/>
        </w:trPr>
        <w:tc>
          <w:tcPr>
            <w:tcW w:type="dxa" w:w="3288"/>
            <w:tcMar>
              <w:top w:w="70" w:type="dxa"/>
              <w:start w:w="80" w:type="dxa"/>
              <w:bottom w:w="70" w:type="dxa"/>
              <w:end w:w="80" w:type="dxa"/>
            </w:tcMar>
            <w:shd w:fill="F8FAFD"/>
            <w:vAlign w:val="top"/>
          </w:tcPr>
          <w:p>
            <w:r>
              <w:rPr>
                <w:color w:val="1C2434"/>
                <w:sz w:val="16"/>
              </w:rPr>
              <w:t>Transações e tentativas relevantes</w:t>
            </w:r>
          </w:p>
        </w:tc>
        <w:tc>
          <w:tcPr>
            <w:tcW w:type="dxa" w:w="5783"/>
            <w:tcMar>
              <w:top w:w="70" w:type="dxa"/>
              <w:start w:w="80" w:type="dxa"/>
              <w:bottom w:w="70" w:type="dxa"/>
              <w:end w:w="80" w:type="dxa"/>
            </w:tcMar>
            <w:shd w:fill="F8FAFD"/>
            <w:vAlign w:val="top"/>
          </w:tcPr>
          <w:p>
            <w:r>
              <w:rPr>
                <w:color w:val="1C2434"/>
                <w:sz w:val="16"/>
              </w:rPr>
              <w:t>10 anos, sem prejuízo de prazo específico superior.</w:t>
            </w:r>
          </w:p>
        </w:tc>
      </w:tr>
      <w:tr>
        <w:trPr>
          <w:cantSplit/>
        </w:trPr>
        <w:tc>
          <w:tcPr>
            <w:tcW w:type="dxa" w:w="3288"/>
            <w:tcMar>
              <w:top w:w="70" w:type="dxa"/>
              <w:start w:w="80" w:type="dxa"/>
              <w:bottom w:w="70" w:type="dxa"/>
              <w:end w:w="80" w:type="dxa"/>
            </w:tcMar>
            <w:vAlign w:val="top"/>
          </w:tcPr>
          <w:p>
            <w:r>
              <w:rPr>
                <w:color w:val="1C2434"/>
                <w:sz w:val="16"/>
              </w:rPr>
              <w:t>Alertas e investigações</w:t>
            </w:r>
          </w:p>
        </w:tc>
        <w:tc>
          <w:tcPr>
            <w:tcW w:type="dxa" w:w="5783"/>
            <w:tcMar>
              <w:top w:w="70" w:type="dxa"/>
              <w:start w:w="80" w:type="dxa"/>
              <w:bottom w:w="70" w:type="dxa"/>
              <w:end w:w="80" w:type="dxa"/>
            </w:tcMar>
            <w:vAlign w:val="top"/>
          </w:tcPr>
          <w:p>
            <w:r>
              <w:rPr>
                <w:color w:val="1C2434"/>
                <w:sz w:val="16"/>
              </w:rPr>
              <w:t>10 anos, incluindo evidências e conclusão.</w:t>
            </w:r>
          </w:p>
        </w:tc>
      </w:tr>
      <w:tr>
        <w:trPr>
          <w:cantSplit/>
        </w:trPr>
        <w:tc>
          <w:tcPr>
            <w:tcW w:type="dxa" w:w="3288"/>
            <w:tcMar>
              <w:top w:w="70" w:type="dxa"/>
              <w:start w:w="80" w:type="dxa"/>
              <w:bottom w:w="70" w:type="dxa"/>
              <w:end w:w="80" w:type="dxa"/>
            </w:tcMar>
            <w:shd w:fill="F8FAFD"/>
            <w:vAlign w:val="top"/>
          </w:tcPr>
          <w:p>
            <w:r>
              <w:rPr>
                <w:color w:val="1C2434"/>
                <w:sz w:val="16"/>
              </w:rPr>
              <w:t>Comunicações e dossiês regulatórios</w:t>
            </w:r>
          </w:p>
        </w:tc>
        <w:tc>
          <w:tcPr>
            <w:tcW w:type="dxa" w:w="5783"/>
            <w:tcMar>
              <w:top w:w="70" w:type="dxa"/>
              <w:start w:w="80" w:type="dxa"/>
              <w:bottom w:w="70" w:type="dxa"/>
              <w:end w:w="80" w:type="dxa"/>
            </w:tcMar>
            <w:shd w:fill="F8FAFD"/>
            <w:vAlign w:val="top"/>
          </w:tcPr>
          <w:p>
            <w:r>
              <w:rPr>
                <w:color w:val="1C2434"/>
                <w:sz w:val="16"/>
              </w:rPr>
              <w:t>10 anos ou prazo legal superior.</w:t>
            </w:r>
          </w:p>
        </w:tc>
      </w:tr>
      <w:tr>
        <w:trPr>
          <w:cantSplit/>
        </w:trPr>
        <w:tc>
          <w:tcPr>
            <w:tcW w:type="dxa" w:w="3288"/>
            <w:tcMar>
              <w:top w:w="70" w:type="dxa"/>
              <w:start w:w="80" w:type="dxa"/>
              <w:bottom w:w="70" w:type="dxa"/>
              <w:end w:w="80" w:type="dxa"/>
            </w:tcMar>
            <w:vAlign w:val="top"/>
          </w:tcPr>
          <w:p>
            <w:r>
              <w:rPr>
                <w:color w:val="1C2434"/>
                <w:sz w:val="16"/>
              </w:rPr>
              <w:t>Logs administrativos críticos</w:t>
            </w:r>
          </w:p>
        </w:tc>
        <w:tc>
          <w:tcPr>
            <w:tcW w:type="dxa" w:w="5783"/>
            <w:tcMar>
              <w:top w:w="70" w:type="dxa"/>
              <w:start w:w="80" w:type="dxa"/>
              <w:bottom w:w="70" w:type="dxa"/>
              <w:end w:w="80" w:type="dxa"/>
            </w:tcMar>
            <w:vAlign w:val="top"/>
          </w:tcPr>
          <w:p>
            <w:r>
              <w:rPr>
                <w:color w:val="1C2434"/>
                <w:sz w:val="16"/>
              </w:rPr>
              <w:t>Mínimo de 5 anos, preferencialmente 10 para eventos financeiros e de Compliance.</w:t>
            </w:r>
          </w:p>
        </w:tc>
      </w:tr>
      <w:tr>
        <w:trPr>
          <w:cantSplit/>
        </w:trPr>
        <w:tc>
          <w:tcPr>
            <w:tcW w:type="dxa" w:w="3288"/>
            <w:tcMar>
              <w:top w:w="70" w:type="dxa"/>
              <w:start w:w="80" w:type="dxa"/>
              <w:bottom w:w="70" w:type="dxa"/>
              <w:end w:w="80" w:type="dxa"/>
            </w:tcMar>
            <w:shd w:fill="F8FAFD"/>
            <w:vAlign w:val="top"/>
          </w:tcPr>
          <w:p>
            <w:r>
              <w:rPr>
                <w:color w:val="1C2434"/>
                <w:sz w:val="16"/>
              </w:rPr>
              <w:t>Treinamentos e aprovações</w:t>
            </w:r>
          </w:p>
        </w:tc>
        <w:tc>
          <w:tcPr>
            <w:tcW w:type="dxa" w:w="5783"/>
            <w:tcMar>
              <w:top w:w="70" w:type="dxa"/>
              <w:start w:w="80" w:type="dxa"/>
              <w:bottom w:w="70" w:type="dxa"/>
              <w:end w:w="80" w:type="dxa"/>
            </w:tcMar>
            <w:shd w:fill="F8FAFD"/>
            <w:vAlign w:val="top"/>
          </w:tcPr>
          <w:p>
            <w:r>
              <w:rPr>
                <w:color w:val="1C2434"/>
                <w:sz w:val="16"/>
              </w:rPr>
              <w:t>5 anos ou prazo interno superior.</w:t>
            </w:r>
          </w:p>
        </w:tc>
      </w:tr>
      <w:tr>
        <w:trPr>
          <w:cantSplit/>
        </w:trPr>
        <w:tc>
          <w:tcPr>
            <w:tcW w:type="dxa" w:w="3288"/>
            <w:tcMar>
              <w:top w:w="70" w:type="dxa"/>
              <w:start w:w="80" w:type="dxa"/>
              <w:bottom w:w="70" w:type="dxa"/>
              <w:end w:w="80" w:type="dxa"/>
            </w:tcMar>
            <w:vAlign w:val="top"/>
          </w:tcPr>
          <w:p>
            <w:r>
              <w:rPr>
                <w:color w:val="1C2434"/>
                <w:sz w:val="16"/>
              </w:rPr>
              <w:t>Due diligence de parceiros</w:t>
            </w:r>
          </w:p>
        </w:tc>
        <w:tc>
          <w:tcPr>
            <w:tcW w:type="dxa" w:w="5783"/>
            <w:tcMar>
              <w:top w:w="70" w:type="dxa"/>
              <w:start w:w="80" w:type="dxa"/>
              <w:bottom w:w="70" w:type="dxa"/>
              <w:end w:w="80" w:type="dxa"/>
            </w:tcMar>
            <w:vAlign w:val="top"/>
          </w:tcPr>
          <w:p>
            <w:r>
              <w:rPr>
                <w:color w:val="1C2434"/>
                <w:sz w:val="16"/>
              </w:rPr>
              <w:t>Durante a relação e por 5 anos após término, ou prazo superior contratual/regulatório.</w:t>
            </w:r>
          </w:p>
        </w:tc>
      </w:tr>
    </w:tbl>
    <w:p>
      <w:pPr>
        <w:spacing w:after="0"/>
      </w:pPr>
    </w:p>
    <w:p>
      <w:pPr>
        <w:pStyle w:val="Heading1"/>
      </w:pPr>
      <w:r>
        <w:t>26. Revisões periódicas e re-KYC</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268"/>
            <w:shd w:fill="071A52"/>
            <w:tcMar>
              <w:top w:w="90" w:type="dxa"/>
              <w:start w:w="90" w:type="dxa"/>
              <w:bottom w:w="90" w:type="dxa"/>
              <w:end w:w="90" w:type="dxa"/>
            </w:tcMar>
            <w:vAlign w:val="center"/>
          </w:tcPr>
          <w:p>
            <w:pPr>
              <w:jc w:val="left"/>
            </w:pPr>
            <w:r/>
            <w:r>
              <w:rPr>
                <w:b/>
                <w:color w:val="FFFFFF"/>
                <w:sz w:val="16"/>
              </w:rPr>
              <w:t>Risco</w:t>
            </w:r>
          </w:p>
        </w:tc>
        <w:tc>
          <w:tcPr>
            <w:tcW w:type="dxa" w:w="6803"/>
            <w:shd w:fill="071A52"/>
            <w:tcMar>
              <w:top w:w="90" w:type="dxa"/>
              <w:start w:w="90" w:type="dxa"/>
              <w:bottom w:w="90" w:type="dxa"/>
              <w:end w:w="90" w:type="dxa"/>
            </w:tcMar>
            <w:vAlign w:val="center"/>
          </w:tcPr>
          <w:p>
            <w:pPr>
              <w:jc w:val="left"/>
            </w:pPr>
            <w:r/>
            <w:r>
              <w:rPr>
                <w:b/>
                <w:color w:val="FFFFFF"/>
                <w:sz w:val="16"/>
              </w:rPr>
              <w:t>Periodicidade padrão</w:t>
            </w:r>
          </w:p>
        </w:tc>
      </w:tr>
      <w:tr>
        <w:trPr>
          <w:cantSplit/>
        </w:trPr>
        <w:tc>
          <w:tcPr>
            <w:tcW w:type="dxa" w:w="2268"/>
            <w:tcMar>
              <w:top w:w="70" w:type="dxa"/>
              <w:start w:w="80" w:type="dxa"/>
              <w:bottom w:w="70" w:type="dxa"/>
              <w:end w:w="80" w:type="dxa"/>
            </w:tcMar>
            <w:vAlign w:val="top"/>
          </w:tcPr>
          <w:p>
            <w:r>
              <w:rPr>
                <w:color w:val="1C2434"/>
                <w:sz w:val="16"/>
              </w:rPr>
              <w:t>Baixo</w:t>
            </w:r>
          </w:p>
        </w:tc>
        <w:tc>
          <w:tcPr>
            <w:tcW w:type="dxa" w:w="6803"/>
            <w:tcMar>
              <w:top w:w="70" w:type="dxa"/>
              <w:start w:w="80" w:type="dxa"/>
              <w:bottom w:w="70" w:type="dxa"/>
              <w:end w:w="80" w:type="dxa"/>
            </w:tcMar>
            <w:vAlign w:val="top"/>
          </w:tcPr>
          <w:p>
            <w:r>
              <w:rPr>
                <w:color w:val="1C2434"/>
                <w:sz w:val="16"/>
              </w:rPr>
              <w:t>Até 24 meses, ou antes em evento relevante.</w:t>
            </w:r>
          </w:p>
        </w:tc>
      </w:tr>
      <w:tr>
        <w:trPr>
          <w:cantSplit/>
        </w:trPr>
        <w:tc>
          <w:tcPr>
            <w:tcW w:type="dxa" w:w="2268"/>
            <w:tcMar>
              <w:top w:w="70" w:type="dxa"/>
              <w:start w:w="80" w:type="dxa"/>
              <w:bottom w:w="70" w:type="dxa"/>
              <w:end w:w="80" w:type="dxa"/>
            </w:tcMar>
            <w:shd w:fill="F8FAFD"/>
            <w:vAlign w:val="top"/>
          </w:tcPr>
          <w:p>
            <w:r>
              <w:rPr>
                <w:color w:val="1C2434"/>
                <w:sz w:val="16"/>
              </w:rPr>
              <w:t>Médio</w:t>
            </w:r>
          </w:p>
        </w:tc>
        <w:tc>
          <w:tcPr>
            <w:tcW w:type="dxa" w:w="6803"/>
            <w:tcMar>
              <w:top w:w="70" w:type="dxa"/>
              <w:start w:w="80" w:type="dxa"/>
              <w:bottom w:w="70" w:type="dxa"/>
              <w:end w:w="80" w:type="dxa"/>
            </w:tcMar>
            <w:shd w:fill="F8FAFD"/>
            <w:vAlign w:val="top"/>
          </w:tcPr>
          <w:p>
            <w:r>
              <w:rPr>
                <w:color w:val="1C2434"/>
                <w:sz w:val="16"/>
              </w:rPr>
              <w:t>12 meses.</w:t>
            </w:r>
          </w:p>
        </w:tc>
      </w:tr>
      <w:tr>
        <w:trPr>
          <w:cantSplit/>
        </w:trPr>
        <w:tc>
          <w:tcPr>
            <w:tcW w:type="dxa" w:w="2268"/>
            <w:tcMar>
              <w:top w:w="70" w:type="dxa"/>
              <w:start w:w="80" w:type="dxa"/>
              <w:bottom w:w="70" w:type="dxa"/>
              <w:end w:w="80" w:type="dxa"/>
            </w:tcMar>
            <w:vAlign w:val="top"/>
          </w:tcPr>
          <w:p>
            <w:r>
              <w:rPr>
                <w:color w:val="1C2434"/>
                <w:sz w:val="16"/>
              </w:rPr>
              <w:t>Alto</w:t>
            </w:r>
          </w:p>
        </w:tc>
        <w:tc>
          <w:tcPr>
            <w:tcW w:type="dxa" w:w="6803"/>
            <w:tcMar>
              <w:top w:w="70" w:type="dxa"/>
              <w:start w:w="80" w:type="dxa"/>
              <w:bottom w:w="70" w:type="dxa"/>
              <w:end w:w="80" w:type="dxa"/>
            </w:tcMar>
            <w:vAlign w:val="top"/>
          </w:tcPr>
          <w:p>
            <w:r>
              <w:rPr>
                <w:color w:val="1C2434"/>
                <w:sz w:val="16"/>
              </w:rPr>
              <w:t>6 meses.</w:t>
            </w:r>
          </w:p>
        </w:tc>
      </w:tr>
      <w:tr>
        <w:trPr>
          <w:cantSplit/>
        </w:trPr>
        <w:tc>
          <w:tcPr>
            <w:tcW w:type="dxa" w:w="2268"/>
            <w:tcMar>
              <w:top w:w="70" w:type="dxa"/>
              <w:start w:w="80" w:type="dxa"/>
              <w:bottom w:w="70" w:type="dxa"/>
              <w:end w:w="80" w:type="dxa"/>
            </w:tcMar>
            <w:shd w:fill="F8FAFD"/>
            <w:vAlign w:val="top"/>
          </w:tcPr>
          <w:p>
            <w:r>
              <w:rPr>
                <w:color w:val="1C2434"/>
                <w:sz w:val="16"/>
              </w:rPr>
              <w:t>Muito alto</w:t>
            </w:r>
          </w:p>
        </w:tc>
        <w:tc>
          <w:tcPr>
            <w:tcW w:type="dxa" w:w="6803"/>
            <w:tcMar>
              <w:top w:w="70" w:type="dxa"/>
              <w:start w:w="80" w:type="dxa"/>
              <w:bottom w:w="70" w:type="dxa"/>
              <w:end w:w="80" w:type="dxa"/>
            </w:tcMar>
            <w:shd w:fill="F8FAFD"/>
            <w:vAlign w:val="top"/>
          </w:tcPr>
          <w:p>
            <w:r>
              <w:rPr>
                <w:color w:val="1C2434"/>
                <w:sz w:val="16"/>
              </w:rPr>
              <w:t>3 meses ou monitoramento contínuo com revisão formal trimestral.</w:t>
            </w:r>
          </w:p>
        </w:tc>
      </w:tr>
      <w:tr>
        <w:trPr>
          <w:cantSplit/>
        </w:trPr>
        <w:tc>
          <w:tcPr>
            <w:tcW w:type="dxa" w:w="2268"/>
            <w:tcMar>
              <w:top w:w="70" w:type="dxa"/>
              <w:start w:w="80" w:type="dxa"/>
              <w:bottom w:w="70" w:type="dxa"/>
              <w:end w:w="80" w:type="dxa"/>
            </w:tcMar>
            <w:vAlign w:val="top"/>
          </w:tcPr>
          <w:p>
            <w:r>
              <w:rPr>
                <w:color w:val="1C2434"/>
                <w:sz w:val="16"/>
              </w:rPr>
              <w:t>Evento material</w:t>
            </w:r>
          </w:p>
        </w:tc>
        <w:tc>
          <w:tcPr>
            <w:tcW w:type="dxa" w:w="6803"/>
            <w:tcMar>
              <w:top w:w="70" w:type="dxa"/>
              <w:start w:w="80" w:type="dxa"/>
              <w:bottom w:w="70" w:type="dxa"/>
              <w:end w:w="80" w:type="dxa"/>
            </w:tcMar>
            <w:vAlign w:val="top"/>
          </w:tcPr>
          <w:p>
            <w:r>
              <w:rPr>
                <w:color w:val="1C2434"/>
                <w:sz w:val="16"/>
              </w:rPr>
              <w:t>Imediata, independentemente da periodicidade: mudança societária, PEP, sanção, pico de volume, novo país, novo produto, denúncia, fraude ou mídia adversa relevante.</w:t>
            </w:r>
          </w:p>
        </w:tc>
      </w:tr>
    </w:tbl>
    <w:p>
      <w:pPr>
        <w:spacing w:after="0"/>
      </w:pPr>
    </w:p>
    <w:p>
      <w:pPr>
        <w:pStyle w:val="Heading1"/>
      </w:pPr>
      <w:r>
        <w:t>27. Teste de efetividade, auditoria e indicadores</w:t>
      </w:r>
    </w:p>
    <w:p>
      <w:r>
        <w:rPr>
          <w:b w:val="0"/>
        </w:rPr>
        <w:t>A efetividade deve ser avaliada ao menos anualmente por função independente da execução diária. Os resultados devem gerar plano de ação com responsável e prazo.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2381"/>
            <w:shd w:fill="071A52"/>
            <w:tcMar>
              <w:top w:w="90" w:type="dxa"/>
              <w:start w:w="90" w:type="dxa"/>
              <w:bottom w:w="90" w:type="dxa"/>
              <w:end w:w="90" w:type="dxa"/>
            </w:tcMar>
            <w:vAlign w:val="center"/>
          </w:tcPr>
          <w:p>
            <w:pPr>
              <w:jc w:val="left"/>
            </w:pPr>
            <w:r/>
            <w:r>
              <w:rPr>
                <w:b/>
                <w:color w:val="FFFFFF"/>
                <w:sz w:val="16"/>
              </w:rPr>
              <w:t>Indicador</w:t>
            </w:r>
          </w:p>
        </w:tc>
        <w:tc>
          <w:tcPr>
            <w:tcW w:type="dxa" w:w="6690"/>
            <w:shd w:fill="071A52"/>
            <w:tcMar>
              <w:top w:w="90" w:type="dxa"/>
              <w:start w:w="90" w:type="dxa"/>
              <w:bottom w:w="90" w:type="dxa"/>
              <w:end w:w="90" w:type="dxa"/>
            </w:tcMar>
            <w:vAlign w:val="center"/>
          </w:tcPr>
          <w:p>
            <w:pPr>
              <w:jc w:val="left"/>
            </w:pPr>
            <w:r/>
            <w:r>
              <w:rPr>
                <w:b/>
                <w:color w:val="FFFFFF"/>
                <w:sz w:val="16"/>
              </w:rPr>
              <w:t>Objetivo</w:t>
            </w:r>
          </w:p>
        </w:tc>
      </w:tr>
      <w:tr>
        <w:trPr>
          <w:cantSplit/>
        </w:trPr>
        <w:tc>
          <w:tcPr>
            <w:tcW w:type="dxa" w:w="2381"/>
            <w:tcMar>
              <w:top w:w="70" w:type="dxa"/>
              <w:start w:w="80" w:type="dxa"/>
              <w:bottom w:w="70" w:type="dxa"/>
              <w:end w:w="80" w:type="dxa"/>
            </w:tcMar>
            <w:vAlign w:val="top"/>
          </w:tcPr>
          <w:p>
            <w:r>
              <w:rPr>
                <w:color w:val="1C2434"/>
                <w:sz w:val="16"/>
              </w:rPr>
              <w:t>Cobertura de KYC/KYB</w:t>
            </w:r>
          </w:p>
        </w:tc>
        <w:tc>
          <w:tcPr>
            <w:tcW w:type="dxa" w:w="6690"/>
            <w:tcMar>
              <w:top w:w="70" w:type="dxa"/>
              <w:start w:w="80" w:type="dxa"/>
              <w:bottom w:w="70" w:type="dxa"/>
              <w:end w:w="80" w:type="dxa"/>
            </w:tcMar>
            <w:vAlign w:val="top"/>
          </w:tcPr>
          <w:p>
            <w:r>
              <w:rPr>
                <w:color w:val="1C2434"/>
                <w:sz w:val="16"/>
              </w:rPr>
              <w:t>Percentual de clientes com documentação válida, UBO identificado e risco atribuído.</w:t>
            </w:r>
          </w:p>
        </w:tc>
      </w:tr>
      <w:tr>
        <w:trPr>
          <w:cantSplit/>
        </w:trPr>
        <w:tc>
          <w:tcPr>
            <w:tcW w:type="dxa" w:w="2381"/>
            <w:tcMar>
              <w:top w:w="70" w:type="dxa"/>
              <w:start w:w="80" w:type="dxa"/>
              <w:bottom w:w="70" w:type="dxa"/>
              <w:end w:w="80" w:type="dxa"/>
            </w:tcMar>
            <w:shd w:fill="F8FAFD"/>
            <w:vAlign w:val="top"/>
          </w:tcPr>
          <w:p>
            <w:r>
              <w:rPr>
                <w:color w:val="1C2434"/>
                <w:sz w:val="16"/>
              </w:rPr>
              <w:t>Alertas</w:t>
            </w:r>
          </w:p>
        </w:tc>
        <w:tc>
          <w:tcPr>
            <w:tcW w:type="dxa" w:w="6690"/>
            <w:tcMar>
              <w:top w:w="70" w:type="dxa"/>
              <w:start w:w="80" w:type="dxa"/>
              <w:bottom w:w="70" w:type="dxa"/>
              <w:end w:w="80" w:type="dxa"/>
            </w:tcMar>
            <w:shd w:fill="F8FAFD"/>
            <w:vAlign w:val="top"/>
          </w:tcPr>
          <w:p>
            <w:r>
              <w:rPr>
                <w:color w:val="1C2434"/>
                <w:sz w:val="16"/>
              </w:rPr>
              <w:t>Volume, aging, tempo de triagem, tempo de investigação, falsos positivos e backlog.</w:t>
            </w:r>
          </w:p>
        </w:tc>
      </w:tr>
      <w:tr>
        <w:trPr>
          <w:cantSplit/>
        </w:trPr>
        <w:tc>
          <w:tcPr>
            <w:tcW w:type="dxa" w:w="2381"/>
            <w:tcMar>
              <w:top w:w="70" w:type="dxa"/>
              <w:start w:w="80" w:type="dxa"/>
              <w:bottom w:w="70" w:type="dxa"/>
              <w:end w:w="80" w:type="dxa"/>
            </w:tcMar>
            <w:vAlign w:val="top"/>
          </w:tcPr>
          <w:p>
            <w:r>
              <w:rPr>
                <w:color w:val="1C2434"/>
                <w:sz w:val="16"/>
              </w:rPr>
              <w:t>EDD</w:t>
            </w:r>
          </w:p>
        </w:tc>
        <w:tc>
          <w:tcPr>
            <w:tcW w:type="dxa" w:w="6690"/>
            <w:tcMar>
              <w:top w:w="70" w:type="dxa"/>
              <w:start w:w="80" w:type="dxa"/>
              <w:bottom w:w="70" w:type="dxa"/>
              <w:end w:w="80" w:type="dxa"/>
            </w:tcMar>
            <w:vAlign w:val="top"/>
          </w:tcPr>
          <w:p>
            <w:r>
              <w:rPr>
                <w:color w:val="1C2434"/>
                <w:sz w:val="16"/>
              </w:rPr>
              <w:t>Percentual concluído no prazo e taxa de aprovação/rejeição por motivo.</w:t>
            </w:r>
          </w:p>
        </w:tc>
      </w:tr>
      <w:tr>
        <w:trPr>
          <w:cantSplit/>
        </w:trPr>
        <w:tc>
          <w:tcPr>
            <w:tcW w:type="dxa" w:w="2381"/>
            <w:tcMar>
              <w:top w:w="70" w:type="dxa"/>
              <w:start w:w="80" w:type="dxa"/>
              <w:bottom w:w="70" w:type="dxa"/>
              <w:end w:w="80" w:type="dxa"/>
            </w:tcMar>
            <w:shd w:fill="F8FAFD"/>
            <w:vAlign w:val="top"/>
          </w:tcPr>
          <w:p>
            <w:r>
              <w:rPr>
                <w:color w:val="1C2434"/>
                <w:sz w:val="16"/>
              </w:rPr>
              <w:t>Re-KYC</w:t>
            </w:r>
          </w:p>
        </w:tc>
        <w:tc>
          <w:tcPr>
            <w:tcW w:type="dxa" w:w="6690"/>
            <w:tcMar>
              <w:top w:w="70" w:type="dxa"/>
              <w:start w:w="80" w:type="dxa"/>
              <w:bottom w:w="70" w:type="dxa"/>
              <w:end w:w="80" w:type="dxa"/>
            </w:tcMar>
            <w:shd w:fill="F8FAFD"/>
            <w:vAlign w:val="top"/>
          </w:tcPr>
          <w:p>
            <w:r>
              <w:rPr>
                <w:color w:val="1C2434"/>
                <w:sz w:val="16"/>
              </w:rPr>
              <w:t>Clientes vencidos por faixa de risco e tempo de atraso.</w:t>
            </w:r>
          </w:p>
        </w:tc>
      </w:tr>
      <w:tr>
        <w:trPr>
          <w:cantSplit/>
        </w:trPr>
        <w:tc>
          <w:tcPr>
            <w:tcW w:type="dxa" w:w="2381"/>
            <w:tcMar>
              <w:top w:w="70" w:type="dxa"/>
              <w:start w:w="80" w:type="dxa"/>
              <w:bottom w:w="70" w:type="dxa"/>
              <w:end w:w="80" w:type="dxa"/>
            </w:tcMar>
            <w:vAlign w:val="top"/>
          </w:tcPr>
          <w:p>
            <w:r>
              <w:rPr>
                <w:color w:val="1C2434"/>
                <w:sz w:val="16"/>
              </w:rPr>
              <w:t>Sanções/PEP</w:t>
            </w:r>
          </w:p>
        </w:tc>
        <w:tc>
          <w:tcPr>
            <w:tcW w:type="dxa" w:w="6690"/>
            <w:tcMar>
              <w:top w:w="70" w:type="dxa"/>
              <w:start w:w="80" w:type="dxa"/>
              <w:bottom w:w="70" w:type="dxa"/>
              <w:end w:w="80" w:type="dxa"/>
            </w:tcMar>
            <w:vAlign w:val="top"/>
          </w:tcPr>
          <w:p>
            <w:r>
              <w:rPr>
                <w:color w:val="1C2434"/>
                <w:sz w:val="16"/>
              </w:rPr>
              <w:t>Tempo de resposta a potencial match e quantidade de pendências.</w:t>
            </w:r>
          </w:p>
        </w:tc>
      </w:tr>
      <w:tr>
        <w:trPr>
          <w:cantSplit/>
        </w:trPr>
        <w:tc>
          <w:tcPr>
            <w:tcW w:type="dxa" w:w="2381"/>
            <w:tcMar>
              <w:top w:w="70" w:type="dxa"/>
              <w:start w:w="80" w:type="dxa"/>
              <w:bottom w:w="70" w:type="dxa"/>
              <w:end w:w="80" w:type="dxa"/>
            </w:tcMar>
            <w:shd w:fill="F8FAFD"/>
            <w:vAlign w:val="top"/>
          </w:tcPr>
          <w:p>
            <w:r>
              <w:rPr>
                <w:color w:val="1C2434"/>
                <w:sz w:val="16"/>
              </w:rPr>
              <w:t>Fraude</w:t>
            </w:r>
          </w:p>
        </w:tc>
        <w:tc>
          <w:tcPr>
            <w:tcW w:type="dxa" w:w="6690"/>
            <w:tcMar>
              <w:top w:w="70" w:type="dxa"/>
              <w:start w:w="80" w:type="dxa"/>
              <w:bottom w:w="70" w:type="dxa"/>
              <w:end w:w="80" w:type="dxa"/>
            </w:tcMar>
            <w:shd w:fill="F8FAFD"/>
            <w:vAlign w:val="top"/>
          </w:tcPr>
          <w:p>
            <w:r>
              <w:rPr>
                <w:color w:val="1C2434"/>
                <w:sz w:val="16"/>
              </w:rPr>
              <w:t>Perda, chargeback, MED, takeover, taxa por produto/canal e recuperação.</w:t>
            </w:r>
          </w:p>
        </w:tc>
      </w:tr>
      <w:tr>
        <w:trPr>
          <w:cantSplit/>
        </w:trPr>
        <w:tc>
          <w:tcPr>
            <w:tcW w:type="dxa" w:w="2381"/>
            <w:tcMar>
              <w:top w:w="70" w:type="dxa"/>
              <w:start w:w="80" w:type="dxa"/>
              <w:bottom w:w="70" w:type="dxa"/>
              <w:end w:w="80" w:type="dxa"/>
            </w:tcMar>
            <w:vAlign w:val="top"/>
          </w:tcPr>
          <w:p>
            <w:r>
              <w:rPr>
                <w:color w:val="1C2434"/>
                <w:sz w:val="16"/>
              </w:rPr>
              <w:t>Cripto</w:t>
            </w:r>
          </w:p>
        </w:tc>
        <w:tc>
          <w:tcPr>
            <w:tcW w:type="dxa" w:w="6690"/>
            <w:tcMar>
              <w:top w:w="70" w:type="dxa"/>
              <w:start w:w="80" w:type="dxa"/>
              <w:bottom w:w="70" w:type="dxa"/>
              <w:end w:w="80" w:type="dxa"/>
            </w:tcMar>
            <w:vAlign w:val="top"/>
          </w:tcPr>
          <w:p>
            <w:r>
              <w:rPr>
                <w:color w:val="1C2434"/>
                <w:sz w:val="16"/>
              </w:rPr>
              <w:t>Exposição a categorias de risco blockchain, wallets bloqueadas, payouts retidos para análise e casos encerrados.</w:t>
            </w:r>
          </w:p>
        </w:tc>
      </w:tr>
      <w:tr>
        <w:trPr>
          <w:cantSplit/>
        </w:trPr>
        <w:tc>
          <w:tcPr>
            <w:tcW w:type="dxa" w:w="2381"/>
            <w:tcMar>
              <w:top w:w="70" w:type="dxa"/>
              <w:start w:w="80" w:type="dxa"/>
              <w:bottom w:w="70" w:type="dxa"/>
              <w:end w:w="80" w:type="dxa"/>
            </w:tcMar>
            <w:shd w:fill="F8FAFD"/>
            <w:vAlign w:val="top"/>
          </w:tcPr>
          <w:p>
            <w:r>
              <w:rPr>
                <w:color w:val="1C2434"/>
                <w:sz w:val="16"/>
              </w:rPr>
              <w:t>Qualidade</w:t>
            </w:r>
          </w:p>
        </w:tc>
        <w:tc>
          <w:tcPr>
            <w:tcW w:type="dxa" w:w="6690"/>
            <w:tcMar>
              <w:top w:w="70" w:type="dxa"/>
              <w:start w:w="80" w:type="dxa"/>
              <w:bottom w:w="70" w:type="dxa"/>
              <w:end w:w="80" w:type="dxa"/>
            </w:tcMar>
            <w:shd w:fill="F8FAFD"/>
            <w:vAlign w:val="top"/>
          </w:tcPr>
          <w:p>
            <w:r>
              <w:rPr>
                <w:color w:val="1C2434"/>
                <w:sz w:val="16"/>
              </w:rPr>
              <w:t>Amostras com falha documental, decisões sem justificativa, logs incompletos e reincidências.</w:t>
            </w:r>
          </w:p>
        </w:tc>
      </w:tr>
    </w:tbl>
    <w:p>
      <w:pPr>
        <w:spacing w:after="0"/>
      </w:pPr>
    </w:p>
    <w:p>
      <w:pPr>
        <w:pStyle w:val="Heading1"/>
      </w:pPr>
      <w:r>
        <w:t>28. Exceções, violações e medidas corretivas</w:t>
      </w:r>
    </w:p>
    <w:p>
      <w:r>
        <w:rPr>
          <w:b w:val="0"/>
        </w:rPr>
        <w:t>Exceções devem ser raras, temporárias, justificadas e aprovadas na alçada adequada. Não são permitidas exceções que violem lei, sanção obrigatória, requisito regulatório ou obrigação contratual de parceiro regulado.</w:t>
      </w:r>
    </w:p>
    <w:p>
      <w:pPr>
        <w:pStyle w:val="ListBullet"/>
        <w:spacing w:after="40"/>
      </w:pPr>
      <w:r>
        <w:t>Toda exceção deve indicar motivo, risco residual, controle compensatório, aprovador e data de expiração.</w:t>
      </w:r>
    </w:p>
    <w:p>
      <w:pPr>
        <w:pStyle w:val="ListBullet"/>
        <w:spacing w:after="40"/>
      </w:pPr>
      <w:r>
        <w:t>Violações materiais devem gerar investigação, plano de remediação e, quando cabível, medida disciplinar ou encerramento de terceiro.</w:t>
      </w:r>
    </w:p>
    <w:p>
      <w:pPr>
        <w:pStyle w:val="ListBullet"/>
        <w:spacing w:after="40"/>
      </w:pPr>
      <w:r>
        <w:t>Falhas sistêmicas de monitoramento ou KYC devem ser tratadas como incidente de Compliance e avaliadas retrospectivamente.</w:t>
      </w:r>
    </w:p>
    <w:p>
      <w:pPr>
        <w:pStyle w:val="Heading1"/>
      </w:pPr>
      <w:r>
        <w:t>29. Aprovação e vigência</w:t>
      </w:r>
    </w:p>
    <w:p>
      <w:r>
        <w:rPr>
          <w:b w:val="0"/>
        </w:rPr>
        <w:t>Esta política entra em vigor na data de sua aprovação e permanece válida até sua substituição. A área de Compliance é responsável por manter versão controlada, histórico de alterações e evidências de ciência das áreas aplicáveis.</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3118"/>
            <w:shd w:fill="071A52"/>
            <w:tcMar>
              <w:top w:w="90" w:type="dxa"/>
              <w:start w:w="90" w:type="dxa"/>
              <w:bottom w:w="90" w:type="dxa"/>
              <w:end w:w="90" w:type="dxa"/>
            </w:tcMar>
            <w:vAlign w:val="center"/>
          </w:tcPr>
          <w:p>
            <w:pPr>
              <w:jc w:val="left"/>
            </w:pPr>
            <w:r/>
            <w:r>
              <w:rPr>
                <w:b/>
                <w:color w:val="FFFFFF"/>
                <w:sz w:val="16"/>
              </w:rPr>
              <w:t>Aprovação</w:t>
            </w:r>
          </w:p>
        </w:tc>
        <w:tc>
          <w:tcPr>
            <w:tcW w:type="dxa" w:w="5953"/>
            <w:shd w:fill="071A52"/>
            <w:tcMar>
              <w:top w:w="90" w:type="dxa"/>
              <w:start w:w="90" w:type="dxa"/>
              <w:bottom w:w="90" w:type="dxa"/>
              <w:end w:w="90" w:type="dxa"/>
            </w:tcMar>
            <w:vAlign w:val="center"/>
          </w:tcPr>
          <w:p>
            <w:pPr>
              <w:jc w:val="left"/>
            </w:pPr>
            <w:r/>
            <w:r>
              <w:rPr>
                <w:b/>
                <w:color w:val="FFFFFF"/>
                <w:sz w:val="16"/>
              </w:rPr>
              <w:t>Nome / Cargo / Data</w:t>
            </w:r>
          </w:p>
        </w:tc>
      </w:tr>
      <w:tr>
        <w:trPr>
          <w:cantSplit/>
        </w:trPr>
        <w:tc>
          <w:tcPr>
            <w:tcW w:type="dxa" w:w="3118"/>
            <w:tcMar>
              <w:top w:w="70" w:type="dxa"/>
              <w:start w:w="80" w:type="dxa"/>
              <w:bottom w:w="70" w:type="dxa"/>
              <w:end w:w="80" w:type="dxa"/>
            </w:tcMar>
            <w:vAlign w:val="top"/>
          </w:tcPr>
          <w:p>
            <w:r>
              <w:rPr>
                <w:color w:val="1C2434"/>
                <w:sz w:val="16"/>
              </w:rPr>
              <w:t>Responsável por Compliance</w:t>
            </w:r>
          </w:p>
        </w:tc>
        <w:tc>
          <w:tcPr>
            <w:tcW w:type="dxa" w:w="5953"/>
            <w:tcMar>
              <w:top w:w="70" w:type="dxa"/>
              <w:start w:w="80" w:type="dxa"/>
              <w:bottom w:w="70" w:type="dxa"/>
              <w:end w:w="80" w:type="dxa"/>
            </w:tcMar>
            <w:vAlign w:val="top"/>
          </w:tcPr>
          <w:p>
            <w:r>
              <w:rPr>
                <w:color w:val="1C2434"/>
                <w:sz w:val="16"/>
              </w:rPr>
              <w:t>Leonardo Montenegro - Advogado</w:t>
            </w:r>
          </w:p>
        </w:tc>
      </w:tr>
      <w:tr>
        <w:trPr>
          <w:cantSplit/>
        </w:trPr>
        <w:tc>
          <w:tcPr>
            <w:tcW w:type="dxa" w:w="3118"/>
            <w:tcMar>
              <w:top w:w="70" w:type="dxa"/>
              <w:start w:w="80" w:type="dxa"/>
              <w:bottom w:w="70" w:type="dxa"/>
              <w:end w:w="80" w:type="dxa"/>
            </w:tcMar>
            <w:shd w:fill="F8FAFD"/>
            <w:vAlign w:val="top"/>
          </w:tcPr>
          <w:p>
            <w:r>
              <w:rPr>
                <w:color w:val="1C2434"/>
                <w:sz w:val="16"/>
              </w:rPr>
              <w:t>Diretor responsável</w:t>
            </w:r>
          </w:p>
        </w:tc>
        <w:tc>
          <w:tcPr>
            <w:tcW w:type="dxa" w:w="5953"/>
            <w:tcMar>
              <w:top w:w="70" w:type="dxa"/>
              <w:start w:w="80" w:type="dxa"/>
              <w:bottom w:w="70" w:type="dxa"/>
              <w:end w:w="80" w:type="dxa"/>
            </w:tcMar>
            <w:shd w:fill="F8FAFD"/>
            <w:vAlign w:val="top"/>
          </w:tcPr>
          <w:p>
            <w:r>
              <w:rPr>
                <w:color w:val="1C2434"/>
                <w:sz w:val="16"/>
              </w:rPr>
              <w:t>Cauã Vasconcellos - Head de Compliance</w:t>
            </w:r>
          </w:p>
        </w:tc>
      </w:tr>
      <w:tr>
        <w:trPr>
          <w:cantSplit/>
        </w:trPr>
        <w:tc>
          <w:tcPr>
            <w:tcW w:type="dxa" w:w="3118"/>
            <w:tcMar>
              <w:top w:w="70" w:type="dxa"/>
              <w:start w:w="80" w:type="dxa"/>
              <w:bottom w:w="70" w:type="dxa"/>
              <w:end w:w="80" w:type="dxa"/>
            </w:tcMar>
            <w:vAlign w:val="top"/>
          </w:tcPr>
          <w:p>
            <w:r>
              <w:rPr>
                <w:color w:val="1C2434"/>
                <w:sz w:val="16"/>
              </w:rPr>
              <w:t>Jurídico</w:t>
            </w:r>
          </w:p>
        </w:tc>
        <w:tc>
          <w:tcPr>
            <w:tcW w:type="dxa" w:w="5953"/>
            <w:tcMar>
              <w:top w:w="70" w:type="dxa"/>
              <w:start w:w="80" w:type="dxa"/>
              <w:bottom w:w="70" w:type="dxa"/>
              <w:end w:w="80" w:type="dxa"/>
            </w:tcMar>
            <w:vAlign w:val="top"/>
          </w:tcPr>
          <w:p>
            <w:r>
              <w:rPr>
                <w:color w:val="1C2434"/>
                <w:sz w:val="16"/>
              </w:rPr>
              <w:t>Leonardo Montenegro - Advogado</w:t>
            </w:r>
          </w:p>
        </w:tc>
      </w:tr>
      <w:tr>
        <w:trPr>
          <w:cantSplit/>
        </w:trPr>
        <w:tc>
          <w:tcPr>
            <w:tcW w:type="dxa" w:w="3118"/>
            <w:tcMar>
              <w:top w:w="70" w:type="dxa"/>
              <w:start w:w="80" w:type="dxa"/>
              <w:bottom w:w="70" w:type="dxa"/>
              <w:end w:w="80" w:type="dxa"/>
            </w:tcMar>
            <w:shd w:fill="F8FAFD"/>
            <w:vAlign w:val="top"/>
          </w:tcPr>
          <w:p>
            <w:r>
              <w:rPr>
                <w:color w:val="1C2434"/>
                <w:sz w:val="16"/>
              </w:rPr>
              <w:t>CEO / representante legal</w:t>
            </w:r>
          </w:p>
        </w:tc>
        <w:tc>
          <w:tcPr>
            <w:tcW w:type="dxa" w:w="5953"/>
            <w:tcMar>
              <w:top w:w="70" w:type="dxa"/>
              <w:start w:w="80" w:type="dxa"/>
              <w:bottom w:w="70" w:type="dxa"/>
              <w:end w:w="80" w:type="dxa"/>
            </w:tcMar>
            <w:shd w:fill="F8FAFD"/>
            <w:vAlign w:val="top"/>
          </w:tcPr>
          <w:p>
            <w:r>
              <w:rPr>
                <w:color w:val="1C2434"/>
                <w:sz w:val="16"/>
              </w:rPr>
              <w:t>Cauê Spinelli de Souza</w:t>
            </w:r>
          </w:p>
        </w:tc>
      </w:tr>
      <w:tr>
        <w:trPr>
          <w:cantSplit/>
        </w:trPr>
        <w:tc>
          <w:tcPr>
            <w:tcW w:type="dxa" w:w="3118"/>
            <w:tcMar>
              <w:top w:w="70" w:type="dxa"/>
              <w:start w:w="80" w:type="dxa"/>
              <w:bottom w:w="70" w:type="dxa"/>
              <w:end w:w="80" w:type="dxa"/>
            </w:tcMar>
            <w:vAlign w:val="top"/>
          </w:tcPr>
          <w:p>
            <w:r>
              <w:rPr>
                <w:color w:val="1C2434"/>
                <w:sz w:val="16"/>
              </w:rPr>
              <w:t>Aprovador da política</w:t>
            </w:r>
          </w:p>
        </w:tc>
        <w:tc>
          <w:tcPr>
            <w:tcW w:type="dxa" w:w="5953"/>
            <w:tcMar>
              <w:top w:w="70" w:type="dxa"/>
              <w:start w:w="80" w:type="dxa"/>
              <w:bottom w:w="70" w:type="dxa"/>
              <w:end w:w="80" w:type="dxa"/>
            </w:tcMar>
            <w:vAlign w:val="top"/>
          </w:tcPr>
          <w:p>
            <w:r>
              <w:rPr>
                <w:color w:val="1C2434"/>
                <w:sz w:val="16"/>
              </w:rPr>
              <w:t>Leonardo Montenegro - Advogado</w:t>
            </w:r>
          </w:p>
        </w:tc>
      </w:tr>
      <w:tr>
        <w:trPr>
          <w:cantSplit/>
        </w:trPr>
        <w:tc>
          <w:tcPr>
            <w:tcW w:type="dxa" w:w="3118"/>
            <w:tcMar>
              <w:top w:w="70" w:type="dxa"/>
              <w:start w:w="80" w:type="dxa"/>
              <w:bottom w:w="70" w:type="dxa"/>
              <w:end w:w="80" w:type="dxa"/>
            </w:tcMar>
            <w:shd w:fill="F8FAFD"/>
            <w:vAlign w:val="top"/>
          </w:tcPr>
          <w:p>
            <w:r>
              <w:rPr>
                <w:color w:val="1C2434"/>
                <w:sz w:val="16"/>
              </w:rPr>
              <w:t>Data de aprovação</w:t>
            </w:r>
          </w:p>
        </w:tc>
        <w:tc>
          <w:tcPr>
            <w:tcW w:type="dxa" w:w="5953"/>
            <w:tcMar>
              <w:top w:w="70" w:type="dxa"/>
              <w:start w:w="80" w:type="dxa"/>
              <w:bottom w:w="70" w:type="dxa"/>
              <w:end w:w="80" w:type="dxa"/>
            </w:tcMar>
            <w:shd w:fill="F8FAFD"/>
            <w:vAlign w:val="top"/>
          </w:tcPr>
          <w:p>
            <w:r>
              <w:rPr>
                <w:color w:val="1C2434"/>
                <w:sz w:val="16"/>
              </w:rPr>
              <w:t>17/08/2026</w:t>
            </w:r>
          </w:p>
        </w:tc>
      </w:tr>
    </w:tbl>
    <w:p>
      <w:pPr>
        <w:spacing w:after="0"/>
      </w:pPr>
    </w:p>
    <w:p>
      <w:r>
        <w:br w:type="page"/>
      </w:r>
    </w:p>
    <w:p>
      <w:pPr>
        <w:pStyle w:val="Heading1"/>
      </w:pPr>
      <w:r>
        <w:t>ANEXO I - Matriz de risco de cliente</w:t>
      </w:r>
    </w:p>
    <w:p>
      <w:r>
        <w:rPr>
          <w:b w:val="0"/>
        </w:rPr>
        <w:t>A pontuação abaixo é uma referência operacional. O Compliance pode ajustar pesos, faixas e gatilhos conforme AIR, dados e apetite de risco.</w:t>
      </w:r>
    </w:p>
    <w:tbl>
      <w:tblPr>
        <w:tblStyle w:val="TableGrid"/>
        <w:tblW w:type="auto" w:w="0"/>
        <w:jc w:val="center"/>
        <w:tblLook w:firstColumn="1" w:firstRow="1" w:lastColumn="0" w:lastRow="0" w:noHBand="0" w:noVBand="1" w:val="04A0"/>
      </w:tblPr>
      <w:tblGrid>
        <w:gridCol w:w="2493"/>
        <w:gridCol w:w="2493"/>
        <w:gridCol w:w="2493"/>
        <w:gridCol w:w="2493"/>
      </w:tblGrid>
      <w:tr>
        <w:trPr>
          <w:tblHeader w:val="true"/>
        </w:trPr>
        <w:tc>
          <w:tcPr>
            <w:tcW w:type="dxa" w:w="1814"/>
            <w:shd w:fill="071A52"/>
            <w:tcMar>
              <w:top w:w="90" w:type="dxa"/>
              <w:start w:w="90" w:type="dxa"/>
              <w:bottom w:w="90" w:type="dxa"/>
              <w:end w:w="90" w:type="dxa"/>
            </w:tcMar>
            <w:vAlign w:val="center"/>
          </w:tcPr>
          <w:p>
            <w:pPr>
              <w:jc w:val="left"/>
            </w:pPr>
            <w:r/>
            <w:r>
              <w:rPr>
                <w:b/>
                <w:color w:val="FFFFFF"/>
                <w:sz w:val="16"/>
              </w:rPr>
              <w:t>Fator</w:t>
            </w:r>
          </w:p>
        </w:tc>
        <w:tc>
          <w:tcPr>
            <w:tcW w:type="dxa" w:w="2381"/>
            <w:shd w:fill="071A52"/>
            <w:tcMar>
              <w:top w:w="90" w:type="dxa"/>
              <w:start w:w="90" w:type="dxa"/>
              <w:bottom w:w="90" w:type="dxa"/>
              <w:end w:w="90" w:type="dxa"/>
            </w:tcMar>
            <w:vAlign w:val="center"/>
          </w:tcPr>
          <w:p>
            <w:pPr>
              <w:jc w:val="left"/>
            </w:pPr>
            <w:r/>
            <w:r>
              <w:rPr>
                <w:b/>
                <w:color w:val="FFFFFF"/>
                <w:sz w:val="16"/>
              </w:rPr>
              <w:t>Baixo</w:t>
            </w:r>
          </w:p>
        </w:tc>
        <w:tc>
          <w:tcPr>
            <w:tcW w:type="dxa" w:w="2381"/>
            <w:shd w:fill="071A52"/>
            <w:tcMar>
              <w:top w:w="90" w:type="dxa"/>
              <w:start w:w="90" w:type="dxa"/>
              <w:bottom w:w="90" w:type="dxa"/>
              <w:end w:w="90" w:type="dxa"/>
            </w:tcMar>
            <w:vAlign w:val="center"/>
          </w:tcPr>
          <w:p>
            <w:pPr>
              <w:jc w:val="left"/>
            </w:pPr>
            <w:r/>
            <w:r>
              <w:rPr>
                <w:b/>
                <w:color w:val="FFFFFF"/>
                <w:sz w:val="16"/>
              </w:rPr>
              <w:t>Médio</w:t>
            </w:r>
          </w:p>
        </w:tc>
        <w:tc>
          <w:tcPr>
            <w:tcW w:type="dxa" w:w="2494"/>
            <w:shd w:fill="071A52"/>
            <w:tcMar>
              <w:top w:w="90" w:type="dxa"/>
              <w:start w:w="90" w:type="dxa"/>
              <w:bottom w:w="90" w:type="dxa"/>
              <w:end w:w="90" w:type="dxa"/>
            </w:tcMar>
            <w:vAlign w:val="center"/>
          </w:tcPr>
          <w:p>
            <w:pPr>
              <w:jc w:val="left"/>
            </w:pPr>
            <w:r/>
            <w:r>
              <w:rPr>
                <w:b/>
                <w:color w:val="FFFFFF"/>
                <w:sz w:val="16"/>
              </w:rPr>
              <w:t>Alto / Muito alto</w:t>
            </w:r>
          </w:p>
        </w:tc>
      </w:tr>
      <w:tr>
        <w:trPr>
          <w:cantSplit/>
        </w:trPr>
        <w:tc>
          <w:tcPr>
            <w:tcW w:type="dxa" w:w="1814"/>
            <w:tcMar>
              <w:top w:w="70" w:type="dxa"/>
              <w:start w:w="80" w:type="dxa"/>
              <w:bottom w:w="70" w:type="dxa"/>
              <w:end w:w="80" w:type="dxa"/>
            </w:tcMar>
            <w:vAlign w:val="top"/>
          </w:tcPr>
          <w:p>
            <w:r>
              <w:rPr>
                <w:color w:val="1C2434"/>
                <w:sz w:val="16"/>
              </w:rPr>
              <w:t>Atividade</w:t>
            </w:r>
          </w:p>
        </w:tc>
        <w:tc>
          <w:tcPr>
            <w:tcW w:type="dxa" w:w="2381"/>
            <w:tcMar>
              <w:top w:w="70" w:type="dxa"/>
              <w:start w:w="80" w:type="dxa"/>
              <w:bottom w:w="70" w:type="dxa"/>
              <w:end w:w="80" w:type="dxa"/>
            </w:tcMar>
            <w:vAlign w:val="top"/>
          </w:tcPr>
          <w:p>
            <w:r>
              <w:rPr>
                <w:color w:val="1C2434"/>
                <w:sz w:val="16"/>
              </w:rPr>
              <w:t>Serviço simples e transparente</w:t>
            </w:r>
          </w:p>
        </w:tc>
        <w:tc>
          <w:tcPr>
            <w:tcW w:type="dxa" w:w="2381"/>
            <w:tcMar>
              <w:top w:w="70" w:type="dxa"/>
              <w:start w:w="80" w:type="dxa"/>
              <w:bottom w:w="70" w:type="dxa"/>
              <w:end w:w="80" w:type="dxa"/>
            </w:tcMar>
            <w:vAlign w:val="top"/>
          </w:tcPr>
          <w:p>
            <w:r>
              <w:rPr>
                <w:color w:val="1C2434"/>
                <w:sz w:val="16"/>
              </w:rPr>
              <w:t>Marketplace ou intermediário</w:t>
            </w:r>
          </w:p>
        </w:tc>
        <w:tc>
          <w:tcPr>
            <w:tcW w:type="dxa" w:w="2494"/>
            <w:tcMar>
              <w:top w:w="70" w:type="dxa"/>
              <w:start w:w="80" w:type="dxa"/>
              <w:bottom w:w="70" w:type="dxa"/>
              <w:end w:w="80" w:type="dxa"/>
            </w:tcMar>
            <w:vAlign w:val="top"/>
          </w:tcPr>
          <w:p>
            <w:r>
              <w:rPr>
                <w:color w:val="1C2434"/>
                <w:sz w:val="16"/>
              </w:rPr>
              <w:t>Financeiro, cripto, gaming, remessa, high-risk vertical ou atividade regulada</w:t>
            </w:r>
          </w:p>
        </w:tc>
      </w:tr>
      <w:tr>
        <w:trPr>
          <w:cantSplit/>
        </w:trPr>
        <w:tc>
          <w:tcPr>
            <w:tcW w:type="dxa" w:w="1814"/>
            <w:tcMar>
              <w:top w:w="70" w:type="dxa"/>
              <w:start w:w="80" w:type="dxa"/>
              <w:bottom w:w="70" w:type="dxa"/>
              <w:end w:w="80" w:type="dxa"/>
            </w:tcMar>
            <w:shd w:fill="F8FAFD"/>
            <w:vAlign w:val="top"/>
          </w:tcPr>
          <w:p>
            <w:r>
              <w:rPr>
                <w:color w:val="1C2434"/>
                <w:sz w:val="16"/>
              </w:rPr>
              <w:t>Geografia</w:t>
            </w:r>
          </w:p>
        </w:tc>
        <w:tc>
          <w:tcPr>
            <w:tcW w:type="dxa" w:w="2381"/>
            <w:tcMar>
              <w:top w:w="70" w:type="dxa"/>
              <w:start w:w="80" w:type="dxa"/>
              <w:bottom w:w="70" w:type="dxa"/>
              <w:end w:w="80" w:type="dxa"/>
            </w:tcMar>
            <w:shd w:fill="F8FAFD"/>
            <w:vAlign w:val="top"/>
          </w:tcPr>
          <w:p>
            <w:r>
              <w:rPr>
                <w:color w:val="1C2434"/>
                <w:sz w:val="16"/>
              </w:rPr>
              <w:t>Brasil e mercados de risco padrão</w:t>
            </w:r>
          </w:p>
        </w:tc>
        <w:tc>
          <w:tcPr>
            <w:tcW w:type="dxa" w:w="2381"/>
            <w:tcMar>
              <w:top w:w="70" w:type="dxa"/>
              <w:start w:w="80" w:type="dxa"/>
              <w:bottom w:w="70" w:type="dxa"/>
              <w:end w:w="80" w:type="dxa"/>
            </w:tcMar>
            <w:shd w:fill="F8FAFD"/>
            <w:vAlign w:val="top"/>
          </w:tcPr>
          <w:p>
            <w:r>
              <w:rPr>
                <w:color w:val="1C2434"/>
                <w:sz w:val="16"/>
              </w:rPr>
              <w:t>Exposição internacional moderada</w:t>
            </w:r>
          </w:p>
        </w:tc>
        <w:tc>
          <w:tcPr>
            <w:tcW w:type="dxa" w:w="2494"/>
            <w:tcMar>
              <w:top w:w="70" w:type="dxa"/>
              <w:start w:w="80" w:type="dxa"/>
              <w:bottom w:w="70" w:type="dxa"/>
              <w:end w:w="80" w:type="dxa"/>
            </w:tcMar>
            <w:shd w:fill="F8FAFD"/>
            <w:vAlign w:val="top"/>
          </w:tcPr>
          <w:p>
            <w:r>
              <w:rPr>
                <w:color w:val="1C2434"/>
                <w:sz w:val="16"/>
              </w:rPr>
              <w:t>Jurisdição FATF de maior risco, sanções, baixa transparência ou conflito</w:t>
            </w:r>
          </w:p>
        </w:tc>
      </w:tr>
      <w:tr>
        <w:trPr>
          <w:cantSplit/>
        </w:trPr>
        <w:tc>
          <w:tcPr>
            <w:tcW w:type="dxa" w:w="1814"/>
            <w:tcMar>
              <w:top w:w="70" w:type="dxa"/>
              <w:start w:w="80" w:type="dxa"/>
              <w:bottom w:w="70" w:type="dxa"/>
              <w:end w:w="80" w:type="dxa"/>
            </w:tcMar>
            <w:vAlign w:val="top"/>
          </w:tcPr>
          <w:p>
            <w:r>
              <w:rPr>
                <w:color w:val="1C2434"/>
                <w:sz w:val="16"/>
              </w:rPr>
              <w:t>Estrutura societária</w:t>
            </w:r>
          </w:p>
        </w:tc>
        <w:tc>
          <w:tcPr>
            <w:tcW w:type="dxa" w:w="2381"/>
            <w:tcMar>
              <w:top w:w="70" w:type="dxa"/>
              <w:start w:w="80" w:type="dxa"/>
              <w:bottom w:w="70" w:type="dxa"/>
              <w:end w:w="80" w:type="dxa"/>
            </w:tcMar>
            <w:vAlign w:val="top"/>
          </w:tcPr>
          <w:p>
            <w:r>
              <w:rPr>
                <w:color w:val="1C2434"/>
                <w:sz w:val="16"/>
              </w:rPr>
              <w:t>Simples e local</w:t>
            </w:r>
          </w:p>
        </w:tc>
        <w:tc>
          <w:tcPr>
            <w:tcW w:type="dxa" w:w="2381"/>
            <w:tcMar>
              <w:top w:w="70" w:type="dxa"/>
              <w:start w:w="80" w:type="dxa"/>
              <w:bottom w:w="70" w:type="dxa"/>
              <w:end w:w="80" w:type="dxa"/>
            </w:tcMar>
            <w:vAlign w:val="top"/>
          </w:tcPr>
          <w:p>
            <w:r>
              <w:rPr>
                <w:color w:val="1C2434"/>
                <w:sz w:val="16"/>
              </w:rPr>
              <w:t>Holding ou duas camadas</w:t>
            </w:r>
          </w:p>
        </w:tc>
        <w:tc>
          <w:tcPr>
            <w:tcW w:type="dxa" w:w="2494"/>
            <w:tcMar>
              <w:top w:w="70" w:type="dxa"/>
              <w:start w:w="80" w:type="dxa"/>
              <w:bottom w:w="70" w:type="dxa"/>
              <w:end w:w="80" w:type="dxa"/>
            </w:tcMar>
            <w:vAlign w:val="top"/>
          </w:tcPr>
          <w:p>
            <w:r>
              <w:rPr>
                <w:color w:val="1C2434"/>
                <w:sz w:val="16"/>
              </w:rPr>
              <w:t>Offshore, trust, nominee, múltiplas camadas ou UBO difícil de comprovar</w:t>
            </w:r>
          </w:p>
        </w:tc>
      </w:tr>
      <w:tr>
        <w:trPr>
          <w:cantSplit/>
        </w:trPr>
        <w:tc>
          <w:tcPr>
            <w:tcW w:type="dxa" w:w="1814"/>
            <w:tcMar>
              <w:top w:w="70" w:type="dxa"/>
              <w:start w:w="80" w:type="dxa"/>
              <w:bottom w:w="70" w:type="dxa"/>
              <w:end w:w="80" w:type="dxa"/>
            </w:tcMar>
            <w:shd w:fill="F8FAFD"/>
            <w:vAlign w:val="top"/>
          </w:tcPr>
          <w:p>
            <w:r>
              <w:rPr>
                <w:color w:val="1C2434"/>
                <w:sz w:val="16"/>
              </w:rPr>
              <w:t>Volume/ticket</w:t>
            </w:r>
          </w:p>
        </w:tc>
        <w:tc>
          <w:tcPr>
            <w:tcW w:type="dxa" w:w="2381"/>
            <w:tcMar>
              <w:top w:w="70" w:type="dxa"/>
              <w:start w:w="80" w:type="dxa"/>
              <w:bottom w:w="70" w:type="dxa"/>
              <w:end w:w="80" w:type="dxa"/>
            </w:tcMar>
            <w:shd w:fill="F8FAFD"/>
            <w:vAlign w:val="top"/>
          </w:tcPr>
          <w:p>
            <w:r>
              <w:rPr>
                <w:color w:val="1C2434"/>
                <w:sz w:val="16"/>
              </w:rPr>
              <w:t>Compatível e estável</w:t>
            </w:r>
          </w:p>
        </w:tc>
        <w:tc>
          <w:tcPr>
            <w:tcW w:type="dxa" w:w="2381"/>
            <w:tcMar>
              <w:top w:w="70" w:type="dxa"/>
              <w:start w:w="80" w:type="dxa"/>
              <w:bottom w:w="70" w:type="dxa"/>
              <w:end w:w="80" w:type="dxa"/>
            </w:tcMar>
            <w:shd w:fill="F8FAFD"/>
            <w:vAlign w:val="top"/>
          </w:tcPr>
          <w:p>
            <w:r>
              <w:rPr>
                <w:color w:val="1C2434"/>
                <w:sz w:val="16"/>
              </w:rPr>
              <w:t>Crescimento relevante</w:t>
            </w:r>
          </w:p>
        </w:tc>
        <w:tc>
          <w:tcPr>
            <w:tcW w:type="dxa" w:w="2494"/>
            <w:tcMar>
              <w:top w:w="70" w:type="dxa"/>
              <w:start w:w="80" w:type="dxa"/>
              <w:bottom w:w="70" w:type="dxa"/>
              <w:end w:w="80" w:type="dxa"/>
            </w:tcMar>
            <w:shd w:fill="F8FAFD"/>
            <w:vAlign w:val="top"/>
          </w:tcPr>
          <w:p>
            <w:r>
              <w:rPr>
                <w:color w:val="1C2434"/>
                <w:sz w:val="16"/>
              </w:rPr>
              <w:t>High ticket ou volume abrupto sem histórico/lastro</w:t>
            </w:r>
          </w:p>
        </w:tc>
      </w:tr>
      <w:tr>
        <w:trPr>
          <w:cantSplit/>
        </w:trPr>
        <w:tc>
          <w:tcPr>
            <w:tcW w:type="dxa" w:w="1814"/>
            <w:tcMar>
              <w:top w:w="70" w:type="dxa"/>
              <w:start w:w="80" w:type="dxa"/>
              <w:bottom w:w="70" w:type="dxa"/>
              <w:end w:w="80" w:type="dxa"/>
            </w:tcMar>
            <w:vAlign w:val="top"/>
          </w:tcPr>
          <w:p>
            <w:r>
              <w:rPr>
                <w:color w:val="1C2434"/>
                <w:sz w:val="16"/>
              </w:rPr>
              <w:t>Payout</w:t>
            </w:r>
          </w:p>
        </w:tc>
        <w:tc>
          <w:tcPr>
            <w:tcW w:type="dxa" w:w="2381"/>
            <w:tcMar>
              <w:top w:w="70" w:type="dxa"/>
              <w:start w:w="80" w:type="dxa"/>
              <w:bottom w:w="70" w:type="dxa"/>
              <w:end w:w="80" w:type="dxa"/>
            </w:tcMar>
            <w:vAlign w:val="top"/>
          </w:tcPr>
          <w:p>
            <w:r>
              <w:rPr>
                <w:color w:val="1C2434"/>
                <w:sz w:val="16"/>
              </w:rPr>
              <w:t>Próprio ou fornecedores previsíveis</w:t>
            </w:r>
          </w:p>
        </w:tc>
        <w:tc>
          <w:tcPr>
            <w:tcW w:type="dxa" w:w="2381"/>
            <w:tcMar>
              <w:top w:w="70" w:type="dxa"/>
              <w:start w:w="80" w:type="dxa"/>
              <w:bottom w:w="70" w:type="dxa"/>
              <w:end w:w="80" w:type="dxa"/>
            </w:tcMar>
            <w:vAlign w:val="top"/>
          </w:tcPr>
          <w:p>
            <w:r>
              <w:rPr>
                <w:color w:val="1C2434"/>
                <w:sz w:val="16"/>
              </w:rPr>
              <w:t>Terceiros identificados</w:t>
            </w:r>
          </w:p>
        </w:tc>
        <w:tc>
          <w:tcPr>
            <w:tcW w:type="dxa" w:w="2494"/>
            <w:tcMar>
              <w:top w:w="70" w:type="dxa"/>
              <w:start w:w="80" w:type="dxa"/>
              <w:bottom w:w="70" w:type="dxa"/>
              <w:end w:w="80" w:type="dxa"/>
            </w:tcMar>
            <w:vAlign w:val="top"/>
          </w:tcPr>
          <w:p>
            <w:r>
              <w:rPr>
                <w:color w:val="1C2434"/>
                <w:sz w:val="16"/>
              </w:rPr>
              <w:t>Múltiplos terceiros, afiliados opacos, carteiras de risco</w:t>
            </w:r>
          </w:p>
        </w:tc>
      </w:tr>
      <w:tr>
        <w:trPr>
          <w:cantSplit/>
        </w:trPr>
        <w:tc>
          <w:tcPr>
            <w:tcW w:type="dxa" w:w="1814"/>
            <w:tcMar>
              <w:top w:w="70" w:type="dxa"/>
              <w:start w:w="80" w:type="dxa"/>
              <w:bottom w:w="70" w:type="dxa"/>
              <w:end w:w="80" w:type="dxa"/>
            </w:tcMar>
            <w:shd w:fill="F8FAFD"/>
            <w:vAlign w:val="top"/>
          </w:tcPr>
          <w:p>
            <w:r>
              <w:rPr>
                <w:color w:val="1C2434"/>
                <w:sz w:val="16"/>
              </w:rPr>
              <w:t>PEP/mídia</w:t>
            </w:r>
          </w:p>
        </w:tc>
        <w:tc>
          <w:tcPr>
            <w:tcW w:type="dxa" w:w="2381"/>
            <w:tcMar>
              <w:top w:w="70" w:type="dxa"/>
              <w:start w:w="80" w:type="dxa"/>
              <w:bottom w:w="70" w:type="dxa"/>
              <w:end w:w="80" w:type="dxa"/>
            </w:tcMar>
            <w:shd w:fill="F8FAFD"/>
            <w:vAlign w:val="top"/>
          </w:tcPr>
          <w:p>
            <w:r>
              <w:rPr>
                <w:color w:val="1C2434"/>
                <w:sz w:val="16"/>
              </w:rPr>
              <w:t>Sem apontamentos</w:t>
            </w:r>
          </w:p>
        </w:tc>
        <w:tc>
          <w:tcPr>
            <w:tcW w:type="dxa" w:w="2381"/>
            <w:tcMar>
              <w:top w:w="70" w:type="dxa"/>
              <w:start w:w="80" w:type="dxa"/>
              <w:bottom w:w="70" w:type="dxa"/>
              <w:end w:w="80" w:type="dxa"/>
            </w:tcMar>
            <w:shd w:fill="F8FAFD"/>
            <w:vAlign w:val="top"/>
          </w:tcPr>
          <w:p>
            <w:r>
              <w:rPr>
                <w:color w:val="1C2434"/>
                <w:sz w:val="16"/>
              </w:rPr>
              <w:t>Mídia leve ou relação indireta</w:t>
            </w:r>
          </w:p>
        </w:tc>
        <w:tc>
          <w:tcPr>
            <w:tcW w:type="dxa" w:w="2494"/>
            <w:tcMar>
              <w:top w:w="70" w:type="dxa"/>
              <w:start w:w="80" w:type="dxa"/>
              <w:bottom w:w="70" w:type="dxa"/>
              <w:end w:w="80" w:type="dxa"/>
            </w:tcMar>
            <w:shd w:fill="F8FAFD"/>
            <w:vAlign w:val="top"/>
          </w:tcPr>
          <w:p>
            <w:r>
              <w:rPr>
                <w:color w:val="1C2434"/>
                <w:sz w:val="16"/>
              </w:rPr>
              <w:t>PEP relevante, crime financeiro, sanção não proibitiva ou investigação séria</w:t>
            </w:r>
          </w:p>
        </w:tc>
      </w:tr>
      <w:tr>
        <w:trPr>
          <w:cantSplit/>
        </w:trPr>
        <w:tc>
          <w:tcPr>
            <w:tcW w:type="dxa" w:w="1814"/>
            <w:tcMar>
              <w:top w:w="70" w:type="dxa"/>
              <w:start w:w="80" w:type="dxa"/>
              <w:bottom w:w="70" w:type="dxa"/>
              <w:end w:w="80" w:type="dxa"/>
            </w:tcMar>
            <w:vAlign w:val="top"/>
          </w:tcPr>
          <w:p>
            <w:r>
              <w:rPr>
                <w:color w:val="1C2434"/>
                <w:sz w:val="16"/>
              </w:rPr>
              <w:t>Cripto</w:t>
            </w:r>
          </w:p>
        </w:tc>
        <w:tc>
          <w:tcPr>
            <w:tcW w:type="dxa" w:w="2381"/>
            <w:tcMar>
              <w:top w:w="70" w:type="dxa"/>
              <w:start w:w="80" w:type="dxa"/>
              <w:bottom w:w="70" w:type="dxa"/>
              <w:end w:w="80" w:type="dxa"/>
            </w:tcMar>
            <w:vAlign w:val="top"/>
          </w:tcPr>
          <w:p>
            <w:r>
              <w:rPr>
                <w:color w:val="1C2434"/>
                <w:sz w:val="16"/>
              </w:rPr>
              <w:t>Sem uso</w:t>
            </w:r>
          </w:p>
        </w:tc>
        <w:tc>
          <w:tcPr>
            <w:tcW w:type="dxa" w:w="2381"/>
            <w:tcMar>
              <w:top w:w="70" w:type="dxa"/>
              <w:start w:w="80" w:type="dxa"/>
              <w:bottom w:w="70" w:type="dxa"/>
              <w:end w:w="80" w:type="dxa"/>
            </w:tcMar>
            <w:vAlign w:val="top"/>
          </w:tcPr>
          <w:p>
            <w:r>
              <w:rPr>
                <w:color w:val="1C2434"/>
                <w:sz w:val="16"/>
              </w:rPr>
              <w:t>Conversão ocasional</w:t>
            </w:r>
          </w:p>
        </w:tc>
        <w:tc>
          <w:tcPr>
            <w:tcW w:type="dxa" w:w="2494"/>
            <w:tcMar>
              <w:top w:w="70" w:type="dxa"/>
              <w:start w:w="80" w:type="dxa"/>
              <w:bottom w:w="70" w:type="dxa"/>
              <w:end w:w="80" w:type="dxa"/>
            </w:tcMar>
            <w:vAlign w:val="top"/>
          </w:tcPr>
          <w:p>
            <w:r>
              <w:rPr>
                <w:color w:val="1C2434"/>
                <w:sz w:val="16"/>
              </w:rPr>
              <w:t>Uso intenso, self-hosted, bridges, exposure to high-risk services</w:t>
            </w:r>
          </w:p>
        </w:tc>
      </w:tr>
      <w:tr>
        <w:trPr>
          <w:cantSplit/>
        </w:trPr>
        <w:tc>
          <w:tcPr>
            <w:tcW w:type="dxa" w:w="1814"/>
            <w:tcMar>
              <w:top w:w="70" w:type="dxa"/>
              <w:start w:w="80" w:type="dxa"/>
              <w:bottom w:w="70" w:type="dxa"/>
              <w:end w:w="80" w:type="dxa"/>
            </w:tcMar>
            <w:shd w:fill="F8FAFD"/>
            <w:vAlign w:val="top"/>
          </w:tcPr>
          <w:p>
            <w:r>
              <w:rPr>
                <w:color w:val="1C2434"/>
                <w:sz w:val="16"/>
              </w:rPr>
              <w:t>Histórico</w:t>
            </w:r>
          </w:p>
        </w:tc>
        <w:tc>
          <w:tcPr>
            <w:tcW w:type="dxa" w:w="2381"/>
            <w:tcMar>
              <w:top w:w="70" w:type="dxa"/>
              <w:start w:w="80" w:type="dxa"/>
              <w:bottom w:w="70" w:type="dxa"/>
              <w:end w:w="80" w:type="dxa"/>
            </w:tcMar>
            <w:shd w:fill="F8FAFD"/>
            <w:vAlign w:val="top"/>
          </w:tcPr>
          <w:p>
            <w:r>
              <w:rPr>
                <w:color w:val="1C2434"/>
                <w:sz w:val="16"/>
              </w:rPr>
              <w:t>Estável</w:t>
            </w:r>
          </w:p>
        </w:tc>
        <w:tc>
          <w:tcPr>
            <w:tcW w:type="dxa" w:w="2381"/>
            <w:tcMar>
              <w:top w:w="70" w:type="dxa"/>
              <w:start w:w="80" w:type="dxa"/>
              <w:bottom w:w="70" w:type="dxa"/>
              <w:end w:w="80" w:type="dxa"/>
            </w:tcMar>
            <w:shd w:fill="F8FAFD"/>
            <w:vAlign w:val="top"/>
          </w:tcPr>
          <w:p>
            <w:r>
              <w:rPr>
                <w:color w:val="1C2434"/>
                <w:sz w:val="16"/>
              </w:rPr>
              <w:t>Poucos alertas resolvidos</w:t>
            </w:r>
          </w:p>
        </w:tc>
        <w:tc>
          <w:tcPr>
            <w:tcW w:type="dxa" w:w="2494"/>
            <w:tcMar>
              <w:top w:w="70" w:type="dxa"/>
              <w:start w:w="80" w:type="dxa"/>
              <w:bottom w:w="70" w:type="dxa"/>
              <w:end w:w="80" w:type="dxa"/>
            </w:tcMar>
            <w:shd w:fill="F8FAFD"/>
            <w:vAlign w:val="top"/>
          </w:tcPr>
          <w:p>
            <w:r>
              <w:rPr>
                <w:color w:val="1C2434"/>
                <w:sz w:val="16"/>
              </w:rPr>
              <w:t>Fraude, chargeback, MED, alertas recorrentes ou inconsistência documental</w:t>
            </w:r>
          </w:p>
        </w:tc>
      </w:tr>
    </w:tbl>
    <w:p>
      <w:pPr>
        <w:spacing w:after="0"/>
      </w:pPr>
    </w:p>
    <w:p>
      <w:r>
        <w:br w:type="page"/>
      </w:r>
    </w:p>
    <w:p>
      <w:pPr>
        <w:pStyle w:val="Heading1"/>
      </w:pPr>
      <w:r>
        <w:t>ANEXO II - Checklist KYC/KYB</w:t>
      </w:r>
    </w:p>
    <w:tbl>
      <w:tblPr>
        <w:tblStyle w:val="TableGrid"/>
        <w:tblW w:type="auto" w:w="0"/>
        <w:jc w:val="center"/>
        <w:tblLook w:firstColumn="1" w:firstRow="1" w:lastColumn="0" w:lastRow="0" w:noHBand="0" w:noVBand="1" w:val="04A0"/>
      </w:tblPr>
      <w:tblGrid>
        <w:gridCol w:w="2493"/>
        <w:gridCol w:w="2493"/>
        <w:gridCol w:w="2493"/>
        <w:gridCol w:w="2493"/>
      </w:tblGrid>
      <w:tr>
        <w:trPr>
          <w:tblHeader w:val="true"/>
        </w:trPr>
        <w:tc>
          <w:tcPr>
            <w:tcW w:type="dxa" w:w="1701"/>
            <w:shd w:fill="071A52"/>
            <w:tcMar>
              <w:top w:w="90" w:type="dxa"/>
              <w:start w:w="90" w:type="dxa"/>
              <w:bottom w:w="90" w:type="dxa"/>
              <w:end w:w="90" w:type="dxa"/>
            </w:tcMar>
            <w:vAlign w:val="center"/>
          </w:tcPr>
          <w:p>
            <w:pPr>
              <w:jc w:val="left"/>
            </w:pPr>
            <w:r/>
            <w:r>
              <w:rPr>
                <w:b/>
                <w:color w:val="FFFFFF"/>
                <w:sz w:val="16"/>
              </w:rPr>
              <w:t>Item</w:t>
            </w:r>
          </w:p>
        </w:tc>
        <w:tc>
          <w:tcPr>
            <w:tcW w:type="dxa" w:w="2268"/>
            <w:shd w:fill="071A52"/>
            <w:tcMar>
              <w:top w:w="90" w:type="dxa"/>
              <w:start w:w="90" w:type="dxa"/>
              <w:bottom w:w="90" w:type="dxa"/>
              <w:end w:w="90" w:type="dxa"/>
            </w:tcMar>
            <w:vAlign w:val="center"/>
          </w:tcPr>
          <w:p>
            <w:pPr>
              <w:jc w:val="left"/>
            </w:pPr>
            <w:r/>
            <w:r>
              <w:rPr>
                <w:b/>
                <w:color w:val="FFFFFF"/>
                <w:sz w:val="16"/>
              </w:rPr>
              <w:t>PF</w:t>
            </w:r>
          </w:p>
        </w:tc>
        <w:tc>
          <w:tcPr>
            <w:tcW w:type="dxa" w:w="2494"/>
            <w:shd w:fill="071A52"/>
            <w:tcMar>
              <w:top w:w="90" w:type="dxa"/>
              <w:start w:w="90" w:type="dxa"/>
              <w:bottom w:w="90" w:type="dxa"/>
              <w:end w:w="90" w:type="dxa"/>
            </w:tcMar>
            <w:vAlign w:val="center"/>
          </w:tcPr>
          <w:p>
            <w:pPr>
              <w:jc w:val="left"/>
            </w:pPr>
            <w:r/>
            <w:r>
              <w:rPr>
                <w:b/>
                <w:color w:val="FFFFFF"/>
                <w:sz w:val="16"/>
              </w:rPr>
              <w:t>PJ</w:t>
            </w:r>
          </w:p>
        </w:tc>
        <w:tc>
          <w:tcPr>
            <w:tcW w:type="dxa" w:w="2608"/>
            <w:shd w:fill="071A52"/>
            <w:tcMar>
              <w:top w:w="90" w:type="dxa"/>
              <w:start w:w="90" w:type="dxa"/>
              <w:bottom w:w="90" w:type="dxa"/>
              <w:end w:w="90" w:type="dxa"/>
            </w:tcMar>
            <w:vAlign w:val="center"/>
          </w:tcPr>
          <w:p>
            <w:pPr>
              <w:jc w:val="left"/>
            </w:pPr>
            <w:r/>
            <w:r>
              <w:rPr>
                <w:b/>
                <w:color w:val="FFFFFF"/>
                <w:sz w:val="16"/>
              </w:rPr>
              <w:t>EDD quando aplicável</w:t>
            </w:r>
          </w:p>
        </w:tc>
      </w:tr>
      <w:tr>
        <w:trPr>
          <w:cantSplit/>
        </w:trPr>
        <w:tc>
          <w:tcPr>
            <w:tcW w:type="dxa" w:w="1701"/>
            <w:tcMar>
              <w:top w:w="70" w:type="dxa"/>
              <w:start w:w="80" w:type="dxa"/>
              <w:bottom w:w="70" w:type="dxa"/>
              <w:end w:w="80" w:type="dxa"/>
            </w:tcMar>
            <w:vAlign w:val="top"/>
          </w:tcPr>
          <w:p>
            <w:r>
              <w:rPr>
                <w:color w:val="1C2434"/>
                <w:sz w:val="16"/>
              </w:rPr>
              <w:t>Identificação</w:t>
            </w:r>
          </w:p>
        </w:tc>
        <w:tc>
          <w:tcPr>
            <w:tcW w:type="dxa" w:w="2268"/>
            <w:tcMar>
              <w:top w:w="70" w:type="dxa"/>
              <w:start w:w="80" w:type="dxa"/>
              <w:bottom w:w="70" w:type="dxa"/>
              <w:end w:w="80" w:type="dxa"/>
            </w:tcMar>
            <w:vAlign w:val="top"/>
          </w:tcPr>
          <w:p>
            <w:r>
              <w:rPr>
                <w:color w:val="1C2434"/>
                <w:sz w:val="16"/>
              </w:rPr>
              <w:t>CPF, nome, nascimento, contato</w:t>
            </w:r>
          </w:p>
        </w:tc>
        <w:tc>
          <w:tcPr>
            <w:tcW w:type="dxa" w:w="2494"/>
            <w:tcMar>
              <w:top w:w="70" w:type="dxa"/>
              <w:start w:w="80" w:type="dxa"/>
              <w:bottom w:w="70" w:type="dxa"/>
              <w:end w:w="80" w:type="dxa"/>
            </w:tcMar>
            <w:vAlign w:val="top"/>
          </w:tcPr>
          <w:p>
            <w:r>
              <w:rPr>
                <w:color w:val="1C2434"/>
                <w:sz w:val="16"/>
              </w:rPr>
              <w:t>CNPJ, razão social, endereço</w:t>
            </w:r>
          </w:p>
        </w:tc>
        <w:tc>
          <w:tcPr>
            <w:tcW w:type="dxa" w:w="2608"/>
            <w:tcMar>
              <w:top w:w="70" w:type="dxa"/>
              <w:start w:w="80" w:type="dxa"/>
              <w:bottom w:w="70" w:type="dxa"/>
              <w:end w:w="80" w:type="dxa"/>
            </w:tcMar>
            <w:vAlign w:val="top"/>
          </w:tcPr>
          <w:p>
            <w:r>
              <w:rPr>
                <w:color w:val="1C2434"/>
                <w:sz w:val="16"/>
              </w:rPr>
              <w:t>Documento adicional, validação independente</w:t>
            </w:r>
          </w:p>
        </w:tc>
      </w:tr>
      <w:tr>
        <w:trPr>
          <w:cantSplit/>
        </w:trPr>
        <w:tc>
          <w:tcPr>
            <w:tcW w:type="dxa" w:w="1701"/>
            <w:tcMar>
              <w:top w:w="70" w:type="dxa"/>
              <w:start w:w="80" w:type="dxa"/>
              <w:bottom w:w="70" w:type="dxa"/>
              <w:end w:w="80" w:type="dxa"/>
            </w:tcMar>
            <w:shd w:fill="F8FAFD"/>
            <w:vAlign w:val="top"/>
          </w:tcPr>
          <w:p>
            <w:r>
              <w:rPr>
                <w:color w:val="1C2434"/>
                <w:sz w:val="16"/>
              </w:rPr>
              <w:t>Documento</w:t>
            </w:r>
          </w:p>
        </w:tc>
        <w:tc>
          <w:tcPr>
            <w:tcW w:type="dxa" w:w="2268"/>
            <w:tcMar>
              <w:top w:w="70" w:type="dxa"/>
              <w:start w:w="80" w:type="dxa"/>
              <w:bottom w:w="70" w:type="dxa"/>
              <w:end w:w="80" w:type="dxa"/>
            </w:tcMar>
            <w:shd w:fill="F8FAFD"/>
            <w:vAlign w:val="top"/>
          </w:tcPr>
          <w:p>
            <w:r>
              <w:rPr>
                <w:color w:val="1C2434"/>
                <w:sz w:val="16"/>
              </w:rPr>
              <w:t>RG/CNH/passaporte</w:t>
            </w:r>
          </w:p>
        </w:tc>
        <w:tc>
          <w:tcPr>
            <w:tcW w:type="dxa" w:w="2494"/>
            <w:tcMar>
              <w:top w:w="70" w:type="dxa"/>
              <w:start w:w="80" w:type="dxa"/>
              <w:bottom w:w="70" w:type="dxa"/>
              <w:end w:w="80" w:type="dxa"/>
            </w:tcMar>
            <w:shd w:fill="F8FAFD"/>
            <w:vAlign w:val="top"/>
          </w:tcPr>
          <w:p>
            <w:r>
              <w:rPr>
                <w:color w:val="1C2434"/>
                <w:sz w:val="16"/>
              </w:rPr>
              <w:t>Contrato/estatuto, alterações</w:t>
            </w:r>
          </w:p>
        </w:tc>
        <w:tc>
          <w:tcPr>
            <w:tcW w:type="dxa" w:w="2608"/>
            <w:tcMar>
              <w:top w:w="70" w:type="dxa"/>
              <w:start w:w="80" w:type="dxa"/>
              <w:bottom w:w="70" w:type="dxa"/>
              <w:end w:w="80" w:type="dxa"/>
            </w:tcMar>
            <w:shd w:fill="F8FAFD"/>
            <w:vAlign w:val="top"/>
          </w:tcPr>
          <w:p>
            <w:r>
              <w:rPr>
                <w:color w:val="1C2434"/>
                <w:sz w:val="16"/>
              </w:rPr>
              <w:t>Registro estrangeiro, apostila/tradução quando necessária</w:t>
            </w:r>
          </w:p>
        </w:tc>
      </w:tr>
      <w:tr>
        <w:trPr>
          <w:cantSplit/>
        </w:trPr>
        <w:tc>
          <w:tcPr>
            <w:tcW w:type="dxa" w:w="1701"/>
            <w:tcMar>
              <w:top w:w="70" w:type="dxa"/>
              <w:start w:w="80" w:type="dxa"/>
              <w:bottom w:w="70" w:type="dxa"/>
              <w:end w:w="80" w:type="dxa"/>
            </w:tcMar>
            <w:vAlign w:val="top"/>
          </w:tcPr>
          <w:p>
            <w:r>
              <w:rPr>
                <w:color w:val="1C2434"/>
                <w:sz w:val="16"/>
              </w:rPr>
              <w:t>Biometria</w:t>
            </w:r>
          </w:p>
        </w:tc>
        <w:tc>
          <w:tcPr>
            <w:tcW w:type="dxa" w:w="2268"/>
            <w:tcMar>
              <w:top w:w="70" w:type="dxa"/>
              <w:start w:w="80" w:type="dxa"/>
              <w:bottom w:w="70" w:type="dxa"/>
              <w:end w:w="80" w:type="dxa"/>
            </w:tcMar>
            <w:vAlign w:val="top"/>
          </w:tcPr>
          <w:p>
            <w:r>
              <w:rPr>
                <w:color w:val="1C2434"/>
                <w:sz w:val="16"/>
              </w:rPr>
              <w:t>Selfie/liveness por risco</w:t>
            </w:r>
          </w:p>
        </w:tc>
        <w:tc>
          <w:tcPr>
            <w:tcW w:type="dxa" w:w="2494"/>
            <w:tcMar>
              <w:top w:w="70" w:type="dxa"/>
              <w:start w:w="80" w:type="dxa"/>
              <w:bottom w:w="70" w:type="dxa"/>
              <w:end w:w="80" w:type="dxa"/>
            </w:tcMar>
            <w:vAlign w:val="top"/>
          </w:tcPr>
          <w:p>
            <w:r>
              <w:rPr>
                <w:color w:val="1C2434"/>
                <w:sz w:val="16"/>
              </w:rPr>
              <w:t>Representante legal</w:t>
            </w:r>
          </w:p>
        </w:tc>
        <w:tc>
          <w:tcPr>
            <w:tcW w:type="dxa" w:w="2608"/>
            <w:tcMar>
              <w:top w:w="70" w:type="dxa"/>
              <w:start w:w="80" w:type="dxa"/>
              <w:bottom w:w="70" w:type="dxa"/>
              <w:end w:w="80" w:type="dxa"/>
            </w:tcMar>
            <w:vAlign w:val="top"/>
          </w:tcPr>
          <w:p>
            <w:r>
              <w:rPr>
                <w:color w:val="1C2434"/>
                <w:sz w:val="16"/>
              </w:rPr>
              <w:t>Call de validação e prova adicional</w:t>
            </w:r>
          </w:p>
        </w:tc>
      </w:tr>
      <w:tr>
        <w:trPr>
          <w:cantSplit/>
        </w:trPr>
        <w:tc>
          <w:tcPr>
            <w:tcW w:type="dxa" w:w="1701"/>
            <w:tcMar>
              <w:top w:w="70" w:type="dxa"/>
              <w:start w:w="80" w:type="dxa"/>
              <w:bottom w:w="70" w:type="dxa"/>
              <w:end w:w="80" w:type="dxa"/>
            </w:tcMar>
            <w:shd w:fill="F8FAFD"/>
            <w:vAlign w:val="top"/>
          </w:tcPr>
          <w:p>
            <w:r>
              <w:rPr>
                <w:color w:val="1C2434"/>
                <w:sz w:val="16"/>
              </w:rPr>
              <w:t>Representação</w:t>
            </w:r>
          </w:p>
        </w:tc>
        <w:tc>
          <w:tcPr>
            <w:tcW w:type="dxa" w:w="2268"/>
            <w:tcMar>
              <w:top w:w="70" w:type="dxa"/>
              <w:start w:w="80" w:type="dxa"/>
              <w:bottom w:w="70" w:type="dxa"/>
              <w:end w:w="80" w:type="dxa"/>
            </w:tcMar>
            <w:shd w:fill="F8FAFD"/>
            <w:vAlign w:val="top"/>
          </w:tcPr>
          <w:p>
            <w:r>
              <w:rPr>
                <w:color w:val="1C2434"/>
                <w:sz w:val="16"/>
              </w:rPr>
              <w:t>Procuração se houver</w:t>
            </w:r>
          </w:p>
        </w:tc>
        <w:tc>
          <w:tcPr>
            <w:tcW w:type="dxa" w:w="2494"/>
            <w:tcMar>
              <w:top w:w="70" w:type="dxa"/>
              <w:start w:w="80" w:type="dxa"/>
              <w:bottom w:w="70" w:type="dxa"/>
              <w:end w:w="80" w:type="dxa"/>
            </w:tcMar>
            <w:shd w:fill="F8FAFD"/>
            <w:vAlign w:val="top"/>
          </w:tcPr>
          <w:p>
            <w:r>
              <w:rPr>
                <w:color w:val="1C2434"/>
                <w:sz w:val="16"/>
              </w:rPr>
              <w:t>Administradores e procuradores</w:t>
            </w:r>
          </w:p>
        </w:tc>
        <w:tc>
          <w:tcPr>
            <w:tcW w:type="dxa" w:w="2608"/>
            <w:tcMar>
              <w:top w:w="70" w:type="dxa"/>
              <w:start w:w="80" w:type="dxa"/>
              <w:bottom w:w="70" w:type="dxa"/>
              <w:end w:w="80" w:type="dxa"/>
            </w:tcMar>
            <w:shd w:fill="F8FAFD"/>
            <w:vAlign w:val="top"/>
          </w:tcPr>
          <w:p>
            <w:r>
              <w:rPr>
                <w:color w:val="1C2434"/>
                <w:sz w:val="16"/>
              </w:rPr>
              <w:t>Validação ampliada dos poderes</w:t>
            </w:r>
          </w:p>
        </w:tc>
      </w:tr>
      <w:tr>
        <w:trPr>
          <w:cantSplit/>
        </w:trPr>
        <w:tc>
          <w:tcPr>
            <w:tcW w:type="dxa" w:w="1701"/>
            <w:tcMar>
              <w:top w:w="70" w:type="dxa"/>
              <w:start w:w="80" w:type="dxa"/>
              <w:bottom w:w="70" w:type="dxa"/>
              <w:end w:w="80" w:type="dxa"/>
            </w:tcMar>
            <w:vAlign w:val="top"/>
          </w:tcPr>
          <w:p>
            <w:r>
              <w:rPr>
                <w:color w:val="1C2434"/>
                <w:sz w:val="16"/>
              </w:rPr>
              <w:t>Beneficiário final</w:t>
            </w:r>
          </w:p>
        </w:tc>
        <w:tc>
          <w:tcPr>
            <w:tcW w:type="dxa" w:w="2268"/>
            <w:tcMar>
              <w:top w:w="70" w:type="dxa"/>
              <w:start w:w="80" w:type="dxa"/>
              <w:bottom w:w="70" w:type="dxa"/>
              <w:end w:w="80" w:type="dxa"/>
            </w:tcMar>
            <w:vAlign w:val="top"/>
          </w:tcPr>
          <w:p>
            <w:r>
              <w:rPr>
                <w:color w:val="1C2434"/>
                <w:sz w:val="16"/>
              </w:rPr>
              <w:t>N/A</w:t>
            </w:r>
          </w:p>
        </w:tc>
        <w:tc>
          <w:tcPr>
            <w:tcW w:type="dxa" w:w="2494"/>
            <w:tcMar>
              <w:top w:w="70" w:type="dxa"/>
              <w:start w:w="80" w:type="dxa"/>
              <w:bottom w:w="70" w:type="dxa"/>
              <w:end w:w="80" w:type="dxa"/>
            </w:tcMar>
            <w:vAlign w:val="top"/>
          </w:tcPr>
          <w:p>
            <w:r>
              <w:rPr>
                <w:color w:val="1C2434"/>
                <w:sz w:val="16"/>
              </w:rPr>
              <w:t>Obrigatório</w:t>
            </w:r>
          </w:p>
        </w:tc>
        <w:tc>
          <w:tcPr>
            <w:tcW w:type="dxa" w:w="2608"/>
            <w:tcMar>
              <w:top w:w="70" w:type="dxa"/>
              <w:start w:w="80" w:type="dxa"/>
              <w:bottom w:w="70" w:type="dxa"/>
              <w:end w:w="80" w:type="dxa"/>
            </w:tcMar>
            <w:vAlign w:val="top"/>
          </w:tcPr>
          <w:p>
            <w:r>
              <w:rPr>
                <w:color w:val="1C2434"/>
                <w:sz w:val="16"/>
              </w:rPr>
              <w:t>Organograma, UBO statement, e-BEF ou equivalente</w:t>
            </w:r>
          </w:p>
        </w:tc>
      </w:tr>
      <w:tr>
        <w:trPr>
          <w:cantSplit/>
        </w:trPr>
        <w:tc>
          <w:tcPr>
            <w:tcW w:type="dxa" w:w="1701"/>
            <w:tcMar>
              <w:top w:w="70" w:type="dxa"/>
              <w:start w:w="80" w:type="dxa"/>
              <w:bottom w:w="70" w:type="dxa"/>
              <w:end w:w="80" w:type="dxa"/>
            </w:tcMar>
            <w:shd w:fill="F8FAFD"/>
            <w:vAlign w:val="top"/>
          </w:tcPr>
          <w:p>
            <w:r>
              <w:rPr>
                <w:color w:val="1C2434"/>
                <w:sz w:val="16"/>
              </w:rPr>
              <w:t>PEP/sanções</w:t>
            </w:r>
          </w:p>
        </w:tc>
        <w:tc>
          <w:tcPr>
            <w:tcW w:type="dxa" w:w="2268"/>
            <w:tcMar>
              <w:top w:w="70" w:type="dxa"/>
              <w:start w:w="80" w:type="dxa"/>
              <w:bottom w:w="70" w:type="dxa"/>
              <w:end w:w="80" w:type="dxa"/>
            </w:tcMar>
            <w:shd w:fill="F8FAFD"/>
            <w:vAlign w:val="top"/>
          </w:tcPr>
          <w:p>
            <w:r>
              <w:rPr>
                <w:color w:val="1C2434"/>
                <w:sz w:val="16"/>
              </w:rPr>
              <w:t>Obrigatório</w:t>
            </w:r>
          </w:p>
        </w:tc>
        <w:tc>
          <w:tcPr>
            <w:tcW w:type="dxa" w:w="2494"/>
            <w:tcMar>
              <w:top w:w="70" w:type="dxa"/>
              <w:start w:w="80" w:type="dxa"/>
              <w:bottom w:w="70" w:type="dxa"/>
              <w:end w:w="80" w:type="dxa"/>
            </w:tcMar>
            <w:shd w:fill="F8FAFD"/>
            <w:vAlign w:val="top"/>
          </w:tcPr>
          <w:p>
            <w:r>
              <w:rPr>
                <w:color w:val="1C2434"/>
                <w:sz w:val="16"/>
              </w:rPr>
              <w:t>Empresa + partes relacionadas</w:t>
            </w:r>
          </w:p>
        </w:tc>
        <w:tc>
          <w:tcPr>
            <w:tcW w:type="dxa" w:w="2608"/>
            <w:tcMar>
              <w:top w:w="70" w:type="dxa"/>
              <w:start w:w="80" w:type="dxa"/>
              <w:bottom w:w="70" w:type="dxa"/>
              <w:end w:w="80" w:type="dxa"/>
            </w:tcMar>
            <w:shd w:fill="F8FAFD"/>
            <w:vAlign w:val="top"/>
          </w:tcPr>
          <w:p>
            <w:r>
              <w:rPr>
                <w:color w:val="1C2434"/>
                <w:sz w:val="16"/>
              </w:rPr>
              <w:t>Screening reforçado e periodicidade maior</w:t>
            </w:r>
          </w:p>
        </w:tc>
      </w:tr>
      <w:tr>
        <w:trPr>
          <w:cantSplit/>
        </w:trPr>
        <w:tc>
          <w:tcPr>
            <w:tcW w:type="dxa" w:w="1701"/>
            <w:tcMar>
              <w:top w:w="70" w:type="dxa"/>
              <w:start w:w="80" w:type="dxa"/>
              <w:bottom w:w="70" w:type="dxa"/>
              <w:end w:w="80" w:type="dxa"/>
            </w:tcMar>
            <w:vAlign w:val="top"/>
          </w:tcPr>
          <w:p>
            <w:r>
              <w:rPr>
                <w:color w:val="1C2434"/>
                <w:sz w:val="16"/>
              </w:rPr>
              <w:t>Atividade</w:t>
            </w:r>
          </w:p>
        </w:tc>
        <w:tc>
          <w:tcPr>
            <w:tcW w:type="dxa" w:w="2268"/>
            <w:tcMar>
              <w:top w:w="70" w:type="dxa"/>
              <w:start w:w="80" w:type="dxa"/>
              <w:bottom w:w="70" w:type="dxa"/>
              <w:end w:w="80" w:type="dxa"/>
            </w:tcMar>
            <w:vAlign w:val="top"/>
          </w:tcPr>
          <w:p>
            <w:r>
              <w:rPr>
                <w:color w:val="1C2434"/>
                <w:sz w:val="16"/>
              </w:rPr>
              <w:t>Ocupação/finalidade</w:t>
            </w:r>
          </w:p>
        </w:tc>
        <w:tc>
          <w:tcPr>
            <w:tcW w:type="dxa" w:w="2494"/>
            <w:tcMar>
              <w:top w:w="70" w:type="dxa"/>
              <w:start w:w="80" w:type="dxa"/>
              <w:bottom w:w="70" w:type="dxa"/>
              <w:end w:w="80" w:type="dxa"/>
            </w:tcMar>
            <w:vAlign w:val="top"/>
          </w:tcPr>
          <w:p>
            <w:r>
              <w:rPr>
                <w:color w:val="1C2434"/>
                <w:sz w:val="16"/>
              </w:rPr>
              <w:t>Modelo de negócio, site, CNAE</w:t>
            </w:r>
          </w:p>
        </w:tc>
        <w:tc>
          <w:tcPr>
            <w:tcW w:type="dxa" w:w="2608"/>
            <w:tcMar>
              <w:top w:w="70" w:type="dxa"/>
              <w:start w:w="80" w:type="dxa"/>
              <w:bottom w:w="70" w:type="dxa"/>
              <w:end w:w="80" w:type="dxa"/>
            </w:tcMar>
            <w:vAlign w:val="top"/>
          </w:tcPr>
          <w:p>
            <w:r>
              <w:rPr>
                <w:color w:val="1C2434"/>
                <w:sz w:val="16"/>
              </w:rPr>
              <w:t>Contratos, invoices, licenças</w:t>
            </w:r>
          </w:p>
        </w:tc>
      </w:tr>
      <w:tr>
        <w:trPr>
          <w:cantSplit/>
        </w:trPr>
        <w:tc>
          <w:tcPr>
            <w:tcW w:type="dxa" w:w="1701"/>
            <w:tcMar>
              <w:top w:w="70" w:type="dxa"/>
              <w:start w:w="80" w:type="dxa"/>
              <w:bottom w:w="70" w:type="dxa"/>
              <w:end w:w="80" w:type="dxa"/>
            </w:tcMar>
            <w:shd w:fill="F8FAFD"/>
            <w:vAlign w:val="top"/>
          </w:tcPr>
          <w:p>
            <w:r>
              <w:rPr>
                <w:color w:val="1C2434"/>
                <w:sz w:val="16"/>
              </w:rPr>
              <w:t>Origem recursos</w:t>
            </w:r>
          </w:p>
        </w:tc>
        <w:tc>
          <w:tcPr>
            <w:tcW w:type="dxa" w:w="2268"/>
            <w:tcMar>
              <w:top w:w="70" w:type="dxa"/>
              <w:start w:w="80" w:type="dxa"/>
              <w:bottom w:w="70" w:type="dxa"/>
              <w:end w:w="80" w:type="dxa"/>
            </w:tcMar>
            <w:shd w:fill="F8FAFD"/>
            <w:vAlign w:val="top"/>
          </w:tcPr>
          <w:p>
            <w:r>
              <w:rPr>
                <w:color w:val="1C2434"/>
                <w:sz w:val="16"/>
              </w:rPr>
              <w:t>Por risco</w:t>
            </w:r>
          </w:p>
        </w:tc>
        <w:tc>
          <w:tcPr>
            <w:tcW w:type="dxa" w:w="2494"/>
            <w:tcMar>
              <w:top w:w="70" w:type="dxa"/>
              <w:start w:w="80" w:type="dxa"/>
              <w:bottom w:w="70" w:type="dxa"/>
              <w:end w:w="80" w:type="dxa"/>
            </w:tcMar>
            <w:shd w:fill="F8FAFD"/>
            <w:vAlign w:val="top"/>
          </w:tcPr>
          <w:p>
            <w:r>
              <w:rPr>
                <w:color w:val="1C2434"/>
                <w:sz w:val="16"/>
              </w:rPr>
              <w:t>Receita e fluxo esperado</w:t>
            </w:r>
          </w:p>
        </w:tc>
        <w:tc>
          <w:tcPr>
            <w:tcW w:type="dxa" w:w="2608"/>
            <w:tcMar>
              <w:top w:w="70" w:type="dxa"/>
              <w:start w:w="80" w:type="dxa"/>
              <w:bottom w:w="70" w:type="dxa"/>
              <w:end w:w="80" w:type="dxa"/>
            </w:tcMar>
            <w:shd w:fill="F8FAFD"/>
            <w:vAlign w:val="top"/>
          </w:tcPr>
          <w:p>
            <w:r>
              <w:rPr>
                <w:color w:val="1C2434"/>
                <w:sz w:val="16"/>
              </w:rPr>
              <w:t>Extratos, balanço, DRE, origem de patrimônio</w:t>
            </w:r>
          </w:p>
        </w:tc>
      </w:tr>
      <w:tr>
        <w:trPr>
          <w:cantSplit/>
        </w:trPr>
        <w:tc>
          <w:tcPr>
            <w:tcW w:type="dxa" w:w="1701"/>
            <w:tcMar>
              <w:top w:w="70" w:type="dxa"/>
              <w:start w:w="80" w:type="dxa"/>
              <w:bottom w:w="70" w:type="dxa"/>
              <w:end w:w="80" w:type="dxa"/>
            </w:tcMar>
            <w:vAlign w:val="top"/>
          </w:tcPr>
          <w:p>
            <w:r>
              <w:rPr>
                <w:color w:val="1C2434"/>
                <w:sz w:val="16"/>
              </w:rPr>
              <w:t>Destino</w:t>
            </w:r>
          </w:p>
        </w:tc>
        <w:tc>
          <w:tcPr>
            <w:tcW w:type="dxa" w:w="2268"/>
            <w:tcMar>
              <w:top w:w="70" w:type="dxa"/>
              <w:start w:w="80" w:type="dxa"/>
              <w:bottom w:w="70" w:type="dxa"/>
              <w:end w:w="80" w:type="dxa"/>
            </w:tcMar>
            <w:vAlign w:val="top"/>
          </w:tcPr>
          <w:p>
            <w:r>
              <w:rPr>
                <w:color w:val="1C2434"/>
                <w:sz w:val="16"/>
              </w:rPr>
              <w:t>Conta/carteira compatível</w:t>
            </w:r>
          </w:p>
        </w:tc>
        <w:tc>
          <w:tcPr>
            <w:tcW w:type="dxa" w:w="2494"/>
            <w:tcMar>
              <w:top w:w="70" w:type="dxa"/>
              <w:start w:w="80" w:type="dxa"/>
              <w:bottom w:w="70" w:type="dxa"/>
              <w:end w:w="80" w:type="dxa"/>
            </w:tcMar>
            <w:vAlign w:val="top"/>
          </w:tcPr>
          <w:p>
            <w:r>
              <w:rPr>
                <w:color w:val="1C2434"/>
                <w:sz w:val="16"/>
              </w:rPr>
              <w:t>Conta/carteira corporativa</w:t>
            </w:r>
          </w:p>
        </w:tc>
        <w:tc>
          <w:tcPr>
            <w:tcW w:type="dxa" w:w="2608"/>
            <w:tcMar>
              <w:top w:w="70" w:type="dxa"/>
              <w:start w:w="80" w:type="dxa"/>
              <w:bottom w:w="70" w:type="dxa"/>
              <w:end w:w="80" w:type="dxa"/>
            </w:tcMar>
            <w:vAlign w:val="top"/>
          </w:tcPr>
          <w:p>
            <w:r>
              <w:rPr>
                <w:color w:val="1C2434"/>
                <w:sz w:val="16"/>
              </w:rPr>
              <w:t>Prova de titularidade ou relação econômica</w:t>
            </w:r>
          </w:p>
        </w:tc>
      </w:tr>
      <w:tr>
        <w:trPr>
          <w:cantSplit/>
        </w:trPr>
        <w:tc>
          <w:tcPr>
            <w:tcW w:type="dxa" w:w="1701"/>
            <w:tcMar>
              <w:top w:w="70" w:type="dxa"/>
              <w:start w:w="80" w:type="dxa"/>
              <w:bottom w:w="70" w:type="dxa"/>
              <w:end w:w="80" w:type="dxa"/>
            </w:tcMar>
            <w:shd w:fill="F8FAFD"/>
            <w:vAlign w:val="top"/>
          </w:tcPr>
          <w:p>
            <w:r>
              <w:rPr>
                <w:color w:val="1C2434"/>
                <w:sz w:val="16"/>
              </w:rPr>
              <w:t>Aprovação</w:t>
            </w:r>
          </w:p>
        </w:tc>
        <w:tc>
          <w:tcPr>
            <w:tcW w:type="dxa" w:w="2268"/>
            <w:tcMar>
              <w:top w:w="70" w:type="dxa"/>
              <w:start w:w="80" w:type="dxa"/>
              <w:bottom w:w="70" w:type="dxa"/>
              <w:end w:w="80" w:type="dxa"/>
            </w:tcMar>
            <w:shd w:fill="F8FAFD"/>
            <w:vAlign w:val="top"/>
          </w:tcPr>
          <w:p>
            <w:r>
              <w:rPr>
                <w:color w:val="1C2434"/>
                <w:sz w:val="16"/>
              </w:rPr>
              <w:t>Automática ou analista</w:t>
            </w:r>
          </w:p>
        </w:tc>
        <w:tc>
          <w:tcPr>
            <w:tcW w:type="dxa" w:w="2494"/>
            <w:tcMar>
              <w:top w:w="70" w:type="dxa"/>
              <w:start w:w="80" w:type="dxa"/>
              <w:bottom w:w="70" w:type="dxa"/>
              <w:end w:w="80" w:type="dxa"/>
            </w:tcMar>
            <w:shd w:fill="F8FAFD"/>
            <w:vAlign w:val="top"/>
          </w:tcPr>
          <w:p>
            <w:r>
              <w:rPr>
                <w:color w:val="1C2434"/>
                <w:sz w:val="16"/>
              </w:rPr>
              <w:t>Analista conforme risco</w:t>
            </w:r>
          </w:p>
        </w:tc>
        <w:tc>
          <w:tcPr>
            <w:tcW w:type="dxa" w:w="2608"/>
            <w:tcMar>
              <w:top w:w="70" w:type="dxa"/>
              <w:start w:w="80" w:type="dxa"/>
              <w:bottom w:w="70" w:type="dxa"/>
              <w:end w:w="80" w:type="dxa"/>
            </w:tcMar>
            <w:shd w:fill="F8FAFD"/>
            <w:vAlign w:val="top"/>
          </w:tcPr>
          <w:p>
            <w:r>
              <w:rPr>
                <w:color w:val="1C2434"/>
                <w:sz w:val="16"/>
              </w:rPr>
              <w:t>Compliance e alçada superior</w:t>
            </w:r>
          </w:p>
        </w:tc>
      </w:tr>
    </w:tbl>
    <w:p>
      <w:pPr>
        <w:spacing w:after="0"/>
      </w:pPr>
    </w:p>
    <w:p>
      <w:r>
        <w:br w:type="page"/>
      </w:r>
    </w:p>
    <w:p>
      <w:pPr>
        <w:pStyle w:val="Heading1"/>
      </w:pPr>
      <w:r>
        <w:t>ANEXO III - Red flags prioritárias</w:t>
      </w:r>
    </w:p>
    <w:p>
      <w:pPr>
        <w:pStyle w:val="ListBullet"/>
        <w:spacing w:after="40"/>
      </w:pPr>
      <w:r>
        <w:t>Cliente não consegue explicar claramente o negócio, origem dos recursos, destinatários ou razão do uso da Nuvra.</w:t>
      </w:r>
    </w:p>
    <w:p>
      <w:pPr>
        <w:pStyle w:val="ListBullet"/>
        <w:spacing w:after="40"/>
      </w:pPr>
      <w:r>
        <w:t>Documentos societários divergentes, sócios sem relação aparente com o negócio, UBO oculto ou alteração societária frequente.</w:t>
      </w:r>
    </w:p>
    <w:p>
      <w:pPr>
        <w:pStyle w:val="ListBullet"/>
        <w:spacing w:after="40"/>
      </w:pPr>
      <w:r>
        <w:t>Empresa recém-aberta com volume incompatível com capital, faturamento e presença comercial.</w:t>
      </w:r>
    </w:p>
    <w:p>
      <w:pPr>
        <w:pStyle w:val="ListBullet"/>
        <w:spacing w:after="40"/>
      </w:pPr>
      <w:r>
        <w:t>Vários clientes usando mesmo IP, device, telefone, endereço, conta bancária ou carteira sem vínculo legítimo.</w:t>
      </w:r>
    </w:p>
    <w:p>
      <w:pPr>
        <w:pStyle w:val="ListBullet"/>
        <w:spacing w:after="40"/>
      </w:pPr>
      <w:r>
        <w:t>Entrada seguida de saque ou payout quase imediato, sem lógica operacional.</w:t>
      </w:r>
    </w:p>
    <w:p>
      <w:pPr>
        <w:pStyle w:val="ListBullet"/>
        <w:spacing w:after="40"/>
      </w:pPr>
      <w:r>
        <w:t>Pagamentos de múltiplos terceiros para um cliente e repasse a poucos beneficiários ou carteiras.</w:t>
      </w:r>
    </w:p>
    <w:p>
      <w:pPr>
        <w:pStyle w:val="ListBullet"/>
        <w:spacing w:after="40"/>
      </w:pPr>
      <w:r>
        <w:t>Fracionamento de operações para evitar parâmetros internos.</w:t>
      </w:r>
    </w:p>
    <w:p>
      <w:pPr>
        <w:pStyle w:val="ListBullet"/>
        <w:spacing w:after="40"/>
      </w:pPr>
      <w:r>
        <w:t>High ticket sem contrato, invoice, entrega, nota fiscal ou justificativa coerente quando solicitado.</w:t>
      </w:r>
    </w:p>
    <w:p>
      <w:pPr>
        <w:pStyle w:val="ListBullet"/>
        <w:spacing w:after="40"/>
      </w:pPr>
      <w:r>
        <w:t>Uso de cartão emitido em país sem relação com o comprador, com device/IP divergentes ou múltiplas tentativas.</w:t>
      </w:r>
    </w:p>
    <w:p>
      <w:pPr>
        <w:pStyle w:val="ListBullet"/>
        <w:spacing w:after="40"/>
      </w:pPr>
      <w:r>
        <w:t>Pix com grande incidência de MED, devoluções, reclamações de fraude ou nomes incompatíveis.</w:t>
      </w:r>
    </w:p>
    <w:p>
      <w:pPr>
        <w:pStyle w:val="ListBullet"/>
        <w:spacing w:after="40"/>
      </w:pPr>
      <w:r>
        <w:t>Payouts para contas/carteiras adicionadas imediatamente antes da retirada ou após reset de senha/MFA.</w:t>
      </w:r>
    </w:p>
    <w:p>
      <w:pPr>
        <w:pStyle w:val="ListBullet"/>
        <w:spacing w:after="40"/>
      </w:pPr>
      <w:r>
        <w:t>Conversão rápida fiat-cripto-fiat sem finalidade econômica aparente.</w:t>
      </w:r>
    </w:p>
    <w:p>
      <w:pPr>
        <w:pStyle w:val="ListBullet"/>
        <w:spacing w:after="40"/>
      </w:pPr>
      <w:r>
        <w:t>Carteira com exposição relevante a mixer, darknet, ransomware, scam, theft/hack, sanctioned address ou high-risk exchange.</w:t>
      </w:r>
    </w:p>
    <w:p>
      <w:pPr>
        <w:pStyle w:val="ListBullet"/>
        <w:spacing w:after="40"/>
      </w:pPr>
      <w:r>
        <w:t>Chain hopping ou bridge hopping repetitivo com tentativa de romper rastreabilidade.</w:t>
      </w:r>
    </w:p>
    <w:p>
      <w:pPr>
        <w:pStyle w:val="ListBullet"/>
        <w:spacing w:after="40"/>
      </w:pPr>
      <w:r>
        <w:t>Cliente insiste em operar sem fornecer origem de recursos, beneficiário final ou documentação regulatória.</w:t>
      </w:r>
    </w:p>
    <w:p>
      <w:pPr>
        <w:pStyle w:val="ListBullet"/>
        <w:spacing w:after="40"/>
      </w:pPr>
      <w:r>
        <w:t>Uso de VPN/TOR, geolocalização incompatível e comportamento de automação em conjunto com outros sinais.</w:t>
      </w:r>
    </w:p>
    <w:p>
      <w:pPr>
        <w:pStyle w:val="ListBullet"/>
        <w:spacing w:after="40"/>
      </w:pPr>
      <w:r>
        <w:t>Mídia de golpe, pirâmide, fraude financeira, corrupção, lavagem ou crime organizado envolvendo sócios ou administradores.</w:t>
      </w:r>
    </w:p>
    <w:p>
      <w:pPr>
        <w:pStyle w:val="ListBullet"/>
        <w:spacing w:after="40"/>
      </w:pPr>
      <w:r>
        <w:t>Padrão de transações incompatível com horário, segmento, ticket ou geografia declarados.</w:t>
      </w:r>
    </w:p>
    <w:p>
      <w:pPr>
        <w:pStyle w:val="ListBullet"/>
        <w:spacing w:after="40"/>
      </w:pPr>
      <w:r>
        <w:t>Conta usada como pass-through sem margem, retenção ou atividade operacional real.</w:t>
      </w:r>
    </w:p>
    <w:p>
      <w:pPr>
        <w:pStyle w:val="ListBullet"/>
        <w:spacing w:after="40"/>
      </w:pPr>
      <w:r>
        <w:t>Tentativa de orientar suporte/comercial a quebrar limites, usar terceiros, trocar narrativa ou esconder beneficiário.</w:t>
      </w:r>
    </w:p>
    <w:p>
      <w:r>
        <w:br w:type="page"/>
      </w:r>
    </w:p>
    <w:p>
      <w:pPr>
        <w:pStyle w:val="Heading1"/>
      </w:pPr>
      <w:r>
        <w:t>ANEXO IV - Matriz de escalonamento</w:t>
      </w:r>
    </w:p>
    <w:tbl>
      <w:tblPr>
        <w:tblStyle w:val="TableGrid"/>
        <w:tblW w:type="auto" w:w="0"/>
        <w:jc w:val="center"/>
        <w:tblLook w:firstColumn="1" w:firstRow="1" w:lastColumn="0" w:lastRow="0" w:noHBand="0" w:noVBand="1" w:val="04A0"/>
      </w:tblPr>
      <w:tblGrid>
        <w:gridCol w:w="2493"/>
        <w:gridCol w:w="2493"/>
        <w:gridCol w:w="2493"/>
        <w:gridCol w:w="2493"/>
      </w:tblGrid>
      <w:tr>
        <w:trPr>
          <w:tblHeader w:val="true"/>
        </w:trPr>
        <w:tc>
          <w:tcPr>
            <w:tcW w:type="dxa" w:w="3515"/>
            <w:shd w:fill="071A52"/>
            <w:tcMar>
              <w:top w:w="90" w:type="dxa"/>
              <w:start w:w="90" w:type="dxa"/>
              <w:bottom w:w="90" w:type="dxa"/>
              <w:end w:w="90" w:type="dxa"/>
            </w:tcMar>
            <w:vAlign w:val="center"/>
          </w:tcPr>
          <w:p>
            <w:pPr>
              <w:jc w:val="left"/>
            </w:pPr>
            <w:r/>
            <w:r>
              <w:rPr>
                <w:b/>
                <w:color w:val="FFFFFF"/>
                <w:sz w:val="16"/>
              </w:rPr>
              <w:t>Evento</w:t>
            </w:r>
          </w:p>
        </w:tc>
        <w:tc>
          <w:tcPr>
            <w:tcW w:type="dxa" w:w="1304"/>
            <w:shd w:fill="071A52"/>
            <w:tcMar>
              <w:top w:w="90" w:type="dxa"/>
              <w:start w:w="90" w:type="dxa"/>
              <w:bottom w:w="90" w:type="dxa"/>
              <w:end w:w="90" w:type="dxa"/>
            </w:tcMar>
            <w:vAlign w:val="center"/>
          </w:tcPr>
          <w:p>
            <w:pPr>
              <w:jc w:val="left"/>
            </w:pPr>
            <w:r/>
            <w:r>
              <w:rPr>
                <w:b/>
                <w:color w:val="FFFFFF"/>
                <w:sz w:val="16"/>
              </w:rPr>
              <w:t>Severidade</w:t>
            </w:r>
          </w:p>
        </w:tc>
        <w:tc>
          <w:tcPr>
            <w:tcW w:type="dxa" w:w="1701"/>
            <w:shd w:fill="071A52"/>
            <w:tcMar>
              <w:top w:w="90" w:type="dxa"/>
              <w:start w:w="90" w:type="dxa"/>
              <w:bottom w:w="90" w:type="dxa"/>
              <w:end w:w="90" w:type="dxa"/>
            </w:tcMar>
            <w:vAlign w:val="center"/>
          </w:tcPr>
          <w:p>
            <w:pPr>
              <w:jc w:val="left"/>
            </w:pPr>
            <w:r/>
            <w:r>
              <w:rPr>
                <w:b/>
                <w:color w:val="FFFFFF"/>
                <w:sz w:val="16"/>
              </w:rPr>
              <w:t>Prazo interno</w:t>
            </w:r>
          </w:p>
        </w:tc>
        <w:tc>
          <w:tcPr>
            <w:tcW w:type="dxa" w:w="2551"/>
            <w:shd w:fill="071A52"/>
            <w:tcMar>
              <w:top w:w="90" w:type="dxa"/>
              <w:start w:w="90" w:type="dxa"/>
              <w:bottom w:w="90" w:type="dxa"/>
              <w:end w:w="90" w:type="dxa"/>
            </w:tcMar>
            <w:vAlign w:val="center"/>
          </w:tcPr>
          <w:p>
            <w:pPr>
              <w:jc w:val="left"/>
            </w:pPr>
            <w:r/>
            <w:r>
              <w:rPr>
                <w:b/>
                <w:color w:val="FFFFFF"/>
                <w:sz w:val="16"/>
              </w:rPr>
              <w:t>Alçada</w:t>
            </w:r>
          </w:p>
        </w:tc>
      </w:tr>
      <w:tr>
        <w:trPr>
          <w:cantSplit/>
        </w:trPr>
        <w:tc>
          <w:tcPr>
            <w:tcW w:type="dxa" w:w="3515"/>
            <w:tcMar>
              <w:top w:w="70" w:type="dxa"/>
              <w:start w:w="80" w:type="dxa"/>
              <w:bottom w:w="70" w:type="dxa"/>
              <w:end w:w="80" w:type="dxa"/>
            </w:tcMar>
            <w:vAlign w:val="top"/>
          </w:tcPr>
          <w:p>
            <w:r>
              <w:rPr>
                <w:color w:val="1C2434"/>
                <w:sz w:val="16"/>
              </w:rPr>
              <w:t>Possível sanção obrigatória</w:t>
            </w:r>
          </w:p>
        </w:tc>
        <w:tc>
          <w:tcPr>
            <w:tcW w:type="dxa" w:w="1304"/>
            <w:tcMar>
              <w:top w:w="70" w:type="dxa"/>
              <w:start w:w="80" w:type="dxa"/>
              <w:bottom w:w="70" w:type="dxa"/>
              <w:end w:w="80" w:type="dxa"/>
            </w:tcMar>
            <w:vAlign w:val="top"/>
          </w:tcPr>
          <w:p>
            <w:r>
              <w:rPr>
                <w:color w:val="1C2434"/>
                <w:sz w:val="16"/>
              </w:rPr>
              <w:t>Crítica</w:t>
            </w:r>
          </w:p>
        </w:tc>
        <w:tc>
          <w:tcPr>
            <w:tcW w:type="dxa" w:w="1701"/>
            <w:tcMar>
              <w:top w:w="70" w:type="dxa"/>
              <w:start w:w="80" w:type="dxa"/>
              <w:bottom w:w="70" w:type="dxa"/>
              <w:end w:w="80" w:type="dxa"/>
            </w:tcMar>
            <w:vAlign w:val="top"/>
          </w:tcPr>
          <w:p>
            <w:r>
              <w:rPr>
                <w:color w:val="1C2434"/>
                <w:sz w:val="16"/>
              </w:rPr>
              <w:t>Imediato</w:t>
            </w:r>
          </w:p>
        </w:tc>
        <w:tc>
          <w:tcPr>
            <w:tcW w:type="dxa" w:w="2551"/>
            <w:tcMar>
              <w:top w:w="70" w:type="dxa"/>
              <w:start w:w="80" w:type="dxa"/>
              <w:bottom w:w="70" w:type="dxa"/>
              <w:end w:w="80" w:type="dxa"/>
            </w:tcMar>
            <w:vAlign w:val="top"/>
          </w:tcPr>
          <w:p>
            <w:r>
              <w:rPr>
                <w:color w:val="1C2434"/>
                <w:sz w:val="16"/>
              </w:rPr>
              <w:t>Compliance + Jurídico + diretor responsável</w:t>
            </w:r>
          </w:p>
        </w:tc>
      </w:tr>
      <w:tr>
        <w:trPr>
          <w:cantSplit/>
        </w:trPr>
        <w:tc>
          <w:tcPr>
            <w:tcW w:type="dxa" w:w="3515"/>
            <w:tcMar>
              <w:top w:w="70" w:type="dxa"/>
              <w:start w:w="80" w:type="dxa"/>
              <w:bottom w:w="70" w:type="dxa"/>
              <w:end w:w="80" w:type="dxa"/>
            </w:tcMar>
            <w:shd w:fill="F8FAFD"/>
            <w:vAlign w:val="top"/>
          </w:tcPr>
          <w:p>
            <w:r>
              <w:rPr>
                <w:color w:val="1C2434"/>
                <w:sz w:val="16"/>
              </w:rPr>
              <w:t>Ransomware / terrorismo / darknet com exposição relevante</w:t>
            </w:r>
          </w:p>
        </w:tc>
        <w:tc>
          <w:tcPr>
            <w:tcW w:type="dxa" w:w="1304"/>
            <w:tcMar>
              <w:top w:w="70" w:type="dxa"/>
              <w:start w:w="80" w:type="dxa"/>
              <w:bottom w:w="70" w:type="dxa"/>
              <w:end w:w="80" w:type="dxa"/>
            </w:tcMar>
            <w:shd w:fill="F8FAFD"/>
            <w:vAlign w:val="top"/>
          </w:tcPr>
          <w:p>
            <w:r>
              <w:rPr>
                <w:color w:val="1C2434"/>
                <w:sz w:val="16"/>
              </w:rPr>
              <w:t>Crítica</w:t>
            </w:r>
          </w:p>
        </w:tc>
        <w:tc>
          <w:tcPr>
            <w:tcW w:type="dxa" w:w="1701"/>
            <w:tcMar>
              <w:top w:w="70" w:type="dxa"/>
              <w:start w:w="80" w:type="dxa"/>
              <w:bottom w:w="70" w:type="dxa"/>
              <w:end w:w="80" w:type="dxa"/>
            </w:tcMar>
            <w:shd w:fill="F8FAFD"/>
            <w:vAlign w:val="top"/>
          </w:tcPr>
          <w:p>
            <w:r>
              <w:rPr>
                <w:color w:val="1C2434"/>
                <w:sz w:val="16"/>
              </w:rPr>
              <w:t>Imediato</w:t>
            </w:r>
          </w:p>
        </w:tc>
        <w:tc>
          <w:tcPr>
            <w:tcW w:type="dxa" w:w="2551"/>
            <w:tcMar>
              <w:top w:w="70" w:type="dxa"/>
              <w:start w:w="80" w:type="dxa"/>
              <w:bottom w:w="70" w:type="dxa"/>
              <w:end w:w="80" w:type="dxa"/>
            </w:tcMar>
            <w:shd w:fill="F8FAFD"/>
            <w:vAlign w:val="top"/>
          </w:tcPr>
          <w:p>
            <w:r>
              <w:rPr>
                <w:color w:val="1C2434"/>
                <w:sz w:val="16"/>
              </w:rPr>
              <w:t>Compliance + Jurídico + parceiro regulado</w:t>
            </w:r>
          </w:p>
        </w:tc>
      </w:tr>
      <w:tr>
        <w:trPr>
          <w:cantSplit/>
        </w:trPr>
        <w:tc>
          <w:tcPr>
            <w:tcW w:type="dxa" w:w="3515"/>
            <w:tcMar>
              <w:top w:w="70" w:type="dxa"/>
              <w:start w:w="80" w:type="dxa"/>
              <w:bottom w:w="70" w:type="dxa"/>
              <w:end w:w="80" w:type="dxa"/>
            </w:tcMar>
            <w:vAlign w:val="top"/>
          </w:tcPr>
          <w:p>
            <w:r>
              <w:rPr>
                <w:color w:val="1C2434"/>
                <w:sz w:val="16"/>
              </w:rPr>
              <w:t>Conta comprometida / fraude em curso</w:t>
            </w:r>
          </w:p>
        </w:tc>
        <w:tc>
          <w:tcPr>
            <w:tcW w:type="dxa" w:w="1304"/>
            <w:tcMar>
              <w:top w:w="70" w:type="dxa"/>
              <w:start w:w="80" w:type="dxa"/>
              <w:bottom w:w="70" w:type="dxa"/>
              <w:end w:w="80" w:type="dxa"/>
            </w:tcMar>
            <w:vAlign w:val="top"/>
          </w:tcPr>
          <w:p>
            <w:r>
              <w:rPr>
                <w:color w:val="1C2434"/>
                <w:sz w:val="16"/>
              </w:rPr>
              <w:t>Crítica</w:t>
            </w:r>
          </w:p>
        </w:tc>
        <w:tc>
          <w:tcPr>
            <w:tcW w:type="dxa" w:w="1701"/>
            <w:tcMar>
              <w:top w:w="70" w:type="dxa"/>
              <w:start w:w="80" w:type="dxa"/>
              <w:bottom w:w="70" w:type="dxa"/>
              <w:end w:w="80" w:type="dxa"/>
            </w:tcMar>
            <w:vAlign w:val="top"/>
          </w:tcPr>
          <w:p>
            <w:r>
              <w:rPr>
                <w:color w:val="1C2434"/>
                <w:sz w:val="16"/>
              </w:rPr>
              <w:t>Imediato</w:t>
            </w:r>
          </w:p>
        </w:tc>
        <w:tc>
          <w:tcPr>
            <w:tcW w:type="dxa" w:w="2551"/>
            <w:tcMar>
              <w:top w:w="70" w:type="dxa"/>
              <w:start w:w="80" w:type="dxa"/>
              <w:bottom w:w="70" w:type="dxa"/>
              <w:end w:w="80" w:type="dxa"/>
            </w:tcMar>
            <w:vAlign w:val="top"/>
          </w:tcPr>
          <w:p>
            <w:r>
              <w:rPr>
                <w:color w:val="1C2434"/>
                <w:sz w:val="16"/>
              </w:rPr>
              <w:t>Fraude + Segurança + Compliance</w:t>
            </w:r>
          </w:p>
        </w:tc>
      </w:tr>
      <w:tr>
        <w:trPr>
          <w:cantSplit/>
        </w:trPr>
        <w:tc>
          <w:tcPr>
            <w:tcW w:type="dxa" w:w="3515"/>
            <w:tcMar>
              <w:top w:w="70" w:type="dxa"/>
              <w:start w:w="80" w:type="dxa"/>
              <w:bottom w:w="70" w:type="dxa"/>
              <w:end w:w="80" w:type="dxa"/>
            </w:tcMar>
            <w:shd w:fill="F8FAFD"/>
            <w:vAlign w:val="top"/>
          </w:tcPr>
          <w:p>
            <w:r>
              <w:rPr>
                <w:color w:val="1C2434"/>
                <w:sz w:val="16"/>
              </w:rPr>
              <w:t>High ticket atípico sem lastro</w:t>
            </w:r>
          </w:p>
        </w:tc>
        <w:tc>
          <w:tcPr>
            <w:tcW w:type="dxa" w:w="1304"/>
            <w:tcMar>
              <w:top w:w="70" w:type="dxa"/>
              <w:start w:w="80" w:type="dxa"/>
              <w:bottom w:w="70" w:type="dxa"/>
              <w:end w:w="80" w:type="dxa"/>
            </w:tcMar>
            <w:shd w:fill="F8FAFD"/>
            <w:vAlign w:val="top"/>
          </w:tcPr>
          <w:p>
            <w:r>
              <w:rPr>
                <w:color w:val="1C2434"/>
                <w:sz w:val="16"/>
              </w:rPr>
              <w:t>Alta</w:t>
            </w:r>
          </w:p>
        </w:tc>
        <w:tc>
          <w:tcPr>
            <w:tcW w:type="dxa" w:w="1701"/>
            <w:tcMar>
              <w:top w:w="70" w:type="dxa"/>
              <w:start w:w="80" w:type="dxa"/>
              <w:bottom w:w="70" w:type="dxa"/>
              <w:end w:w="80" w:type="dxa"/>
            </w:tcMar>
            <w:shd w:fill="F8FAFD"/>
            <w:vAlign w:val="top"/>
          </w:tcPr>
          <w:p>
            <w:r>
              <w:rPr>
                <w:color w:val="1C2434"/>
                <w:sz w:val="16"/>
              </w:rPr>
              <w:t>Antes da liquidação quando possível</w:t>
            </w:r>
          </w:p>
        </w:tc>
        <w:tc>
          <w:tcPr>
            <w:tcW w:type="dxa" w:w="2551"/>
            <w:tcMar>
              <w:top w:w="70" w:type="dxa"/>
              <w:start w:w="80" w:type="dxa"/>
              <w:bottom w:w="70" w:type="dxa"/>
              <w:end w:w="80" w:type="dxa"/>
            </w:tcMar>
            <w:shd w:fill="F8FAFD"/>
            <w:vAlign w:val="top"/>
          </w:tcPr>
          <w:p>
            <w:r>
              <w:rPr>
                <w:color w:val="1C2434"/>
                <w:sz w:val="16"/>
              </w:rPr>
              <w:t>Compliance</w:t>
            </w:r>
          </w:p>
        </w:tc>
      </w:tr>
      <w:tr>
        <w:trPr>
          <w:cantSplit/>
        </w:trPr>
        <w:tc>
          <w:tcPr>
            <w:tcW w:type="dxa" w:w="3515"/>
            <w:tcMar>
              <w:top w:w="70" w:type="dxa"/>
              <w:start w:w="80" w:type="dxa"/>
              <w:bottom w:w="70" w:type="dxa"/>
              <w:end w:w="80" w:type="dxa"/>
            </w:tcMar>
            <w:vAlign w:val="top"/>
          </w:tcPr>
          <w:p>
            <w:r>
              <w:rPr>
                <w:color w:val="1C2434"/>
                <w:sz w:val="16"/>
              </w:rPr>
              <w:t>PEP de alto risco / mídia criminal material</w:t>
            </w:r>
          </w:p>
        </w:tc>
        <w:tc>
          <w:tcPr>
            <w:tcW w:type="dxa" w:w="1304"/>
            <w:tcMar>
              <w:top w:w="70" w:type="dxa"/>
              <w:start w:w="80" w:type="dxa"/>
              <w:bottom w:w="70" w:type="dxa"/>
              <w:end w:w="80" w:type="dxa"/>
            </w:tcMar>
            <w:vAlign w:val="top"/>
          </w:tcPr>
          <w:p>
            <w:r>
              <w:rPr>
                <w:color w:val="1C2434"/>
                <w:sz w:val="16"/>
              </w:rPr>
              <w:t>Alta</w:t>
            </w:r>
          </w:p>
        </w:tc>
        <w:tc>
          <w:tcPr>
            <w:tcW w:type="dxa" w:w="1701"/>
            <w:tcMar>
              <w:top w:w="70" w:type="dxa"/>
              <w:start w:w="80" w:type="dxa"/>
              <w:bottom w:w="70" w:type="dxa"/>
              <w:end w:w="80" w:type="dxa"/>
            </w:tcMar>
            <w:vAlign w:val="top"/>
          </w:tcPr>
          <w:p>
            <w:r>
              <w:rPr>
                <w:color w:val="1C2434"/>
                <w:sz w:val="16"/>
              </w:rPr>
              <w:t>Antes de ativar ou manter limite ampliado</w:t>
            </w:r>
          </w:p>
        </w:tc>
        <w:tc>
          <w:tcPr>
            <w:tcW w:type="dxa" w:w="2551"/>
            <w:tcMar>
              <w:top w:w="70" w:type="dxa"/>
              <w:start w:w="80" w:type="dxa"/>
              <w:bottom w:w="70" w:type="dxa"/>
              <w:end w:w="80" w:type="dxa"/>
            </w:tcMar>
            <w:vAlign w:val="top"/>
          </w:tcPr>
          <w:p>
            <w:r>
              <w:rPr>
                <w:color w:val="1C2434"/>
                <w:sz w:val="16"/>
              </w:rPr>
              <w:t>Compliance + diretor designado</w:t>
            </w:r>
          </w:p>
        </w:tc>
      </w:tr>
      <w:tr>
        <w:trPr>
          <w:cantSplit/>
        </w:trPr>
        <w:tc>
          <w:tcPr>
            <w:tcW w:type="dxa" w:w="3515"/>
            <w:tcMar>
              <w:top w:w="70" w:type="dxa"/>
              <w:start w:w="80" w:type="dxa"/>
              <w:bottom w:w="70" w:type="dxa"/>
              <w:end w:w="80" w:type="dxa"/>
            </w:tcMar>
            <w:shd w:fill="F8FAFD"/>
            <w:vAlign w:val="top"/>
          </w:tcPr>
          <w:p>
            <w:r>
              <w:rPr>
                <w:color w:val="1C2434"/>
                <w:sz w:val="16"/>
              </w:rPr>
              <w:t>Divergência documental relevante</w:t>
            </w:r>
          </w:p>
        </w:tc>
        <w:tc>
          <w:tcPr>
            <w:tcW w:type="dxa" w:w="1304"/>
            <w:tcMar>
              <w:top w:w="70" w:type="dxa"/>
              <w:start w:w="80" w:type="dxa"/>
              <w:bottom w:w="70" w:type="dxa"/>
              <w:end w:w="80" w:type="dxa"/>
            </w:tcMar>
            <w:shd w:fill="F8FAFD"/>
            <w:vAlign w:val="top"/>
          </w:tcPr>
          <w:p>
            <w:r>
              <w:rPr>
                <w:color w:val="1C2434"/>
                <w:sz w:val="16"/>
              </w:rPr>
              <w:t>Alta</w:t>
            </w:r>
          </w:p>
        </w:tc>
        <w:tc>
          <w:tcPr>
            <w:tcW w:type="dxa" w:w="1701"/>
            <w:tcMar>
              <w:top w:w="70" w:type="dxa"/>
              <w:start w:w="80" w:type="dxa"/>
              <w:bottom w:w="70" w:type="dxa"/>
              <w:end w:w="80" w:type="dxa"/>
            </w:tcMar>
            <w:shd w:fill="F8FAFD"/>
            <w:vAlign w:val="top"/>
          </w:tcPr>
          <w:p>
            <w:r>
              <w:rPr>
                <w:color w:val="1C2434"/>
                <w:sz w:val="16"/>
              </w:rPr>
              <w:t>Antes de ativar</w:t>
            </w:r>
          </w:p>
        </w:tc>
        <w:tc>
          <w:tcPr>
            <w:tcW w:type="dxa" w:w="2551"/>
            <w:tcMar>
              <w:top w:w="70" w:type="dxa"/>
              <w:start w:w="80" w:type="dxa"/>
              <w:bottom w:w="70" w:type="dxa"/>
              <w:end w:w="80" w:type="dxa"/>
            </w:tcMar>
            <w:shd w:fill="F8FAFD"/>
            <w:vAlign w:val="top"/>
          </w:tcPr>
          <w:p>
            <w:r>
              <w:rPr>
                <w:color w:val="1C2434"/>
                <w:sz w:val="16"/>
              </w:rPr>
              <w:t>Compliance</w:t>
            </w:r>
          </w:p>
        </w:tc>
      </w:tr>
      <w:tr>
        <w:trPr>
          <w:cantSplit/>
        </w:trPr>
        <w:tc>
          <w:tcPr>
            <w:tcW w:type="dxa" w:w="3515"/>
            <w:tcMar>
              <w:top w:w="70" w:type="dxa"/>
              <w:start w:w="80" w:type="dxa"/>
              <w:bottom w:w="70" w:type="dxa"/>
              <w:end w:w="80" w:type="dxa"/>
            </w:tcMar>
            <w:vAlign w:val="top"/>
          </w:tcPr>
          <w:p>
            <w:r>
              <w:rPr>
                <w:color w:val="1C2434"/>
                <w:sz w:val="16"/>
              </w:rPr>
              <w:t>Alerta transacional padrão</w:t>
            </w:r>
          </w:p>
        </w:tc>
        <w:tc>
          <w:tcPr>
            <w:tcW w:type="dxa" w:w="1304"/>
            <w:tcMar>
              <w:top w:w="70" w:type="dxa"/>
              <w:start w:w="80" w:type="dxa"/>
              <w:bottom w:w="70" w:type="dxa"/>
              <w:end w:w="80" w:type="dxa"/>
            </w:tcMar>
            <w:vAlign w:val="top"/>
          </w:tcPr>
          <w:p>
            <w:r>
              <w:rPr>
                <w:color w:val="1C2434"/>
                <w:sz w:val="16"/>
              </w:rPr>
              <w:t>Média</w:t>
            </w:r>
          </w:p>
        </w:tc>
        <w:tc>
          <w:tcPr>
            <w:tcW w:type="dxa" w:w="1701"/>
            <w:tcMar>
              <w:top w:w="70" w:type="dxa"/>
              <w:start w:w="80" w:type="dxa"/>
              <w:bottom w:w="70" w:type="dxa"/>
              <w:end w:w="80" w:type="dxa"/>
            </w:tcMar>
            <w:vAlign w:val="top"/>
          </w:tcPr>
          <w:p>
            <w:r>
              <w:rPr>
                <w:color w:val="1C2434"/>
                <w:sz w:val="16"/>
              </w:rPr>
              <w:t>Conforme fila e SLA de risco</w:t>
            </w:r>
          </w:p>
        </w:tc>
        <w:tc>
          <w:tcPr>
            <w:tcW w:type="dxa" w:w="2551"/>
            <w:tcMar>
              <w:top w:w="70" w:type="dxa"/>
              <w:start w:w="80" w:type="dxa"/>
              <w:bottom w:w="70" w:type="dxa"/>
              <w:end w:w="80" w:type="dxa"/>
            </w:tcMar>
            <w:vAlign w:val="top"/>
          </w:tcPr>
          <w:p>
            <w:r>
              <w:rPr>
                <w:color w:val="1C2434"/>
                <w:sz w:val="16"/>
              </w:rPr>
              <w:t>Analista + revisão por amostragem</w:t>
            </w:r>
          </w:p>
        </w:tc>
      </w:tr>
      <w:tr>
        <w:trPr>
          <w:cantSplit/>
        </w:trPr>
        <w:tc>
          <w:tcPr>
            <w:tcW w:type="dxa" w:w="3515"/>
            <w:tcMar>
              <w:top w:w="70" w:type="dxa"/>
              <w:start w:w="80" w:type="dxa"/>
              <w:bottom w:w="70" w:type="dxa"/>
              <w:end w:w="80" w:type="dxa"/>
            </w:tcMar>
            <w:shd w:fill="F8FAFD"/>
            <w:vAlign w:val="top"/>
          </w:tcPr>
          <w:p>
            <w:r>
              <w:rPr>
                <w:color w:val="1C2434"/>
                <w:sz w:val="16"/>
              </w:rPr>
              <w:t>Atualização cadastral simples</w:t>
            </w:r>
          </w:p>
        </w:tc>
        <w:tc>
          <w:tcPr>
            <w:tcW w:type="dxa" w:w="1304"/>
            <w:tcMar>
              <w:top w:w="70" w:type="dxa"/>
              <w:start w:w="80" w:type="dxa"/>
              <w:bottom w:w="70" w:type="dxa"/>
              <w:end w:w="80" w:type="dxa"/>
            </w:tcMar>
            <w:shd w:fill="F8FAFD"/>
            <w:vAlign w:val="top"/>
          </w:tcPr>
          <w:p>
            <w:r>
              <w:rPr>
                <w:color w:val="1C2434"/>
                <w:sz w:val="16"/>
              </w:rPr>
              <w:t>Baixa</w:t>
            </w:r>
          </w:p>
        </w:tc>
        <w:tc>
          <w:tcPr>
            <w:tcW w:type="dxa" w:w="1701"/>
            <w:tcMar>
              <w:top w:w="70" w:type="dxa"/>
              <w:start w:w="80" w:type="dxa"/>
              <w:bottom w:w="70" w:type="dxa"/>
              <w:end w:w="80" w:type="dxa"/>
            </w:tcMar>
            <w:shd w:fill="F8FAFD"/>
            <w:vAlign w:val="top"/>
          </w:tcPr>
          <w:p>
            <w:r>
              <w:rPr>
                <w:color w:val="1C2434"/>
                <w:sz w:val="16"/>
              </w:rPr>
              <w:t>Fluxo normal</w:t>
            </w:r>
          </w:p>
        </w:tc>
        <w:tc>
          <w:tcPr>
            <w:tcW w:type="dxa" w:w="2551"/>
            <w:tcMar>
              <w:top w:w="70" w:type="dxa"/>
              <w:start w:w="80" w:type="dxa"/>
              <w:bottom w:w="70" w:type="dxa"/>
              <w:end w:w="80" w:type="dxa"/>
            </w:tcMar>
            <w:shd w:fill="F8FAFD"/>
            <w:vAlign w:val="top"/>
          </w:tcPr>
          <w:p>
            <w:r>
              <w:rPr>
                <w:color w:val="1C2434"/>
                <w:sz w:val="16"/>
              </w:rPr>
              <w:t>Operações/KYC</w:t>
            </w:r>
          </w:p>
        </w:tc>
      </w:tr>
    </w:tbl>
    <w:p>
      <w:pPr>
        <w:spacing w:after="0"/>
      </w:pPr>
    </w:p>
    <w:p>
      <w:r>
        <w:br w:type="page"/>
      </w:r>
    </w:p>
    <w:p>
      <w:pPr>
        <w:pStyle w:val="Heading1"/>
      </w:pPr>
      <w:r>
        <w:t>ANEXO V - Cenários mínimos de monitoramento</w:t>
      </w:r>
    </w:p>
    <w:tbl>
      <w:tblPr>
        <w:tblStyle w:val="TableGrid"/>
        <w:tblW w:type="auto" w:w="0"/>
        <w:jc w:val="center"/>
        <w:tblLook w:firstColumn="1" w:firstRow="1" w:lastColumn="0" w:lastRow="0" w:noHBand="0" w:noVBand="1" w:val="04A0"/>
      </w:tblPr>
      <w:tblGrid>
        <w:gridCol w:w="3324"/>
        <w:gridCol w:w="3324"/>
        <w:gridCol w:w="3324"/>
      </w:tblGrid>
      <w:tr>
        <w:trPr>
          <w:tblHeader w:val="true"/>
        </w:trPr>
        <w:tc>
          <w:tcPr>
            <w:tcW w:type="dxa" w:w="1134"/>
            <w:shd w:fill="071A52"/>
            <w:tcMar>
              <w:top w:w="90" w:type="dxa"/>
              <w:start w:w="90" w:type="dxa"/>
              <w:bottom w:w="90" w:type="dxa"/>
              <w:end w:w="90" w:type="dxa"/>
            </w:tcMar>
            <w:vAlign w:val="center"/>
          </w:tcPr>
          <w:p>
            <w:pPr>
              <w:jc w:val="left"/>
            </w:pPr>
            <w:r/>
            <w:r>
              <w:rPr>
                <w:b/>
                <w:color w:val="FFFFFF"/>
                <w:sz w:val="16"/>
              </w:rPr>
              <w:t>Código</w:t>
            </w:r>
          </w:p>
        </w:tc>
        <w:tc>
          <w:tcPr>
            <w:tcW w:type="dxa" w:w="3798"/>
            <w:shd w:fill="071A52"/>
            <w:tcMar>
              <w:top w:w="90" w:type="dxa"/>
              <w:start w:w="90" w:type="dxa"/>
              <w:bottom w:w="90" w:type="dxa"/>
              <w:end w:w="90" w:type="dxa"/>
            </w:tcMar>
            <w:vAlign w:val="center"/>
          </w:tcPr>
          <w:p>
            <w:pPr>
              <w:jc w:val="left"/>
            </w:pPr>
            <w:r/>
            <w:r>
              <w:rPr>
                <w:b/>
                <w:color w:val="FFFFFF"/>
                <w:sz w:val="16"/>
              </w:rPr>
              <w:t>Cenário</w:t>
            </w:r>
          </w:p>
        </w:tc>
        <w:tc>
          <w:tcPr>
            <w:tcW w:type="dxa" w:w="4139"/>
            <w:shd w:fill="071A52"/>
            <w:tcMar>
              <w:top w:w="90" w:type="dxa"/>
              <w:start w:w="90" w:type="dxa"/>
              <w:bottom w:w="90" w:type="dxa"/>
              <w:end w:w="90" w:type="dxa"/>
            </w:tcMar>
            <w:vAlign w:val="center"/>
          </w:tcPr>
          <w:p>
            <w:pPr>
              <w:jc w:val="left"/>
            </w:pPr>
            <w:r/>
            <w:r>
              <w:rPr>
                <w:b/>
                <w:color w:val="FFFFFF"/>
                <w:sz w:val="16"/>
              </w:rPr>
              <w:t>Objetivo</w:t>
            </w:r>
          </w:p>
        </w:tc>
      </w:tr>
      <w:tr>
        <w:trPr>
          <w:cantSplit/>
        </w:trPr>
        <w:tc>
          <w:tcPr>
            <w:tcW w:type="dxa" w:w="1134"/>
            <w:tcMar>
              <w:top w:w="70" w:type="dxa"/>
              <w:start w:w="80" w:type="dxa"/>
              <w:bottom w:w="70" w:type="dxa"/>
              <w:end w:w="80" w:type="dxa"/>
            </w:tcMar>
            <w:vAlign w:val="top"/>
          </w:tcPr>
          <w:p>
            <w:r>
              <w:rPr>
                <w:color w:val="1C2434"/>
                <w:sz w:val="16"/>
              </w:rPr>
              <w:t>TM-01</w:t>
            </w:r>
          </w:p>
        </w:tc>
        <w:tc>
          <w:tcPr>
            <w:tcW w:type="dxa" w:w="3798"/>
            <w:tcMar>
              <w:top w:w="70" w:type="dxa"/>
              <w:start w:w="80" w:type="dxa"/>
              <w:bottom w:w="70" w:type="dxa"/>
              <w:end w:w="80" w:type="dxa"/>
            </w:tcMar>
            <w:vAlign w:val="top"/>
          </w:tcPr>
          <w:p>
            <w:r>
              <w:rPr>
                <w:color w:val="1C2434"/>
                <w:sz w:val="16"/>
              </w:rPr>
              <w:t>Ticket acima do perfil esperado</w:t>
            </w:r>
          </w:p>
        </w:tc>
        <w:tc>
          <w:tcPr>
            <w:tcW w:type="dxa" w:w="4139"/>
            <w:tcMar>
              <w:top w:w="70" w:type="dxa"/>
              <w:start w:w="80" w:type="dxa"/>
              <w:bottom w:w="70" w:type="dxa"/>
              <w:end w:w="80" w:type="dxa"/>
            </w:tcMar>
            <w:vAlign w:val="top"/>
          </w:tcPr>
          <w:p>
            <w:r>
              <w:rPr>
                <w:color w:val="1C2434"/>
                <w:sz w:val="16"/>
              </w:rPr>
              <w:t>Detectar high ticket atípico e origem/finalidade incompatível.</w:t>
            </w:r>
          </w:p>
        </w:tc>
      </w:tr>
      <w:tr>
        <w:trPr>
          <w:cantSplit/>
        </w:trPr>
        <w:tc>
          <w:tcPr>
            <w:tcW w:type="dxa" w:w="1134"/>
            <w:tcMar>
              <w:top w:w="70" w:type="dxa"/>
              <w:start w:w="80" w:type="dxa"/>
              <w:bottom w:w="70" w:type="dxa"/>
              <w:end w:w="80" w:type="dxa"/>
            </w:tcMar>
            <w:shd w:fill="F8FAFD"/>
            <w:vAlign w:val="top"/>
          </w:tcPr>
          <w:p>
            <w:r>
              <w:rPr>
                <w:color w:val="1C2434"/>
                <w:sz w:val="16"/>
              </w:rPr>
              <w:t>TM-02</w:t>
            </w:r>
          </w:p>
        </w:tc>
        <w:tc>
          <w:tcPr>
            <w:tcW w:type="dxa" w:w="3798"/>
            <w:tcMar>
              <w:top w:w="70" w:type="dxa"/>
              <w:start w:w="80" w:type="dxa"/>
              <w:bottom w:w="70" w:type="dxa"/>
              <w:end w:w="80" w:type="dxa"/>
            </w:tcMar>
            <w:shd w:fill="F8FAFD"/>
            <w:vAlign w:val="top"/>
          </w:tcPr>
          <w:p>
            <w:r>
              <w:rPr>
                <w:color w:val="1C2434"/>
                <w:sz w:val="16"/>
              </w:rPr>
              <w:t>Aumento abrupto de volume</w:t>
            </w:r>
          </w:p>
        </w:tc>
        <w:tc>
          <w:tcPr>
            <w:tcW w:type="dxa" w:w="4139"/>
            <w:tcMar>
              <w:top w:w="70" w:type="dxa"/>
              <w:start w:w="80" w:type="dxa"/>
              <w:bottom w:w="70" w:type="dxa"/>
              <w:end w:w="80" w:type="dxa"/>
            </w:tcMar>
            <w:shd w:fill="F8FAFD"/>
            <w:vAlign w:val="top"/>
          </w:tcPr>
          <w:p>
            <w:r>
              <w:rPr>
                <w:color w:val="1C2434"/>
                <w:sz w:val="16"/>
              </w:rPr>
              <w:t>Detectar mudança de negócio, fraude, conta tomada ou uso por terceiro.</w:t>
            </w:r>
          </w:p>
        </w:tc>
      </w:tr>
      <w:tr>
        <w:trPr>
          <w:cantSplit/>
        </w:trPr>
        <w:tc>
          <w:tcPr>
            <w:tcW w:type="dxa" w:w="1134"/>
            <w:tcMar>
              <w:top w:w="70" w:type="dxa"/>
              <w:start w:w="80" w:type="dxa"/>
              <w:bottom w:w="70" w:type="dxa"/>
              <w:end w:w="80" w:type="dxa"/>
            </w:tcMar>
            <w:vAlign w:val="top"/>
          </w:tcPr>
          <w:p>
            <w:r>
              <w:rPr>
                <w:color w:val="1C2434"/>
                <w:sz w:val="16"/>
              </w:rPr>
              <w:t>TM-03</w:t>
            </w:r>
          </w:p>
        </w:tc>
        <w:tc>
          <w:tcPr>
            <w:tcW w:type="dxa" w:w="3798"/>
            <w:tcMar>
              <w:top w:w="70" w:type="dxa"/>
              <w:start w:w="80" w:type="dxa"/>
              <w:bottom w:w="70" w:type="dxa"/>
              <w:end w:w="80" w:type="dxa"/>
            </w:tcMar>
            <w:vAlign w:val="top"/>
          </w:tcPr>
          <w:p>
            <w:r>
              <w:rPr>
                <w:color w:val="1C2434"/>
                <w:sz w:val="16"/>
              </w:rPr>
              <w:t>Entrada e saída acelerada</w:t>
            </w:r>
          </w:p>
        </w:tc>
        <w:tc>
          <w:tcPr>
            <w:tcW w:type="dxa" w:w="4139"/>
            <w:tcMar>
              <w:top w:w="70" w:type="dxa"/>
              <w:start w:w="80" w:type="dxa"/>
              <w:bottom w:w="70" w:type="dxa"/>
              <w:end w:w="80" w:type="dxa"/>
            </w:tcMar>
            <w:vAlign w:val="top"/>
          </w:tcPr>
          <w:p>
            <w:r>
              <w:rPr>
                <w:color w:val="1C2434"/>
                <w:sz w:val="16"/>
              </w:rPr>
              <w:t>Detectar conta de passagem e layering.</w:t>
            </w:r>
          </w:p>
        </w:tc>
      </w:tr>
      <w:tr>
        <w:trPr>
          <w:cantSplit/>
        </w:trPr>
        <w:tc>
          <w:tcPr>
            <w:tcW w:type="dxa" w:w="1134"/>
            <w:tcMar>
              <w:top w:w="70" w:type="dxa"/>
              <w:start w:w="80" w:type="dxa"/>
              <w:bottom w:w="70" w:type="dxa"/>
              <w:end w:w="80" w:type="dxa"/>
            </w:tcMar>
            <w:shd w:fill="F8FAFD"/>
            <w:vAlign w:val="top"/>
          </w:tcPr>
          <w:p>
            <w:r>
              <w:rPr>
                <w:color w:val="1C2434"/>
                <w:sz w:val="16"/>
              </w:rPr>
              <w:t>TM-04</w:t>
            </w:r>
          </w:p>
        </w:tc>
        <w:tc>
          <w:tcPr>
            <w:tcW w:type="dxa" w:w="3798"/>
            <w:tcMar>
              <w:top w:w="70" w:type="dxa"/>
              <w:start w:w="80" w:type="dxa"/>
              <w:bottom w:w="70" w:type="dxa"/>
              <w:end w:w="80" w:type="dxa"/>
            </w:tcMar>
            <w:shd w:fill="F8FAFD"/>
            <w:vAlign w:val="top"/>
          </w:tcPr>
          <w:p>
            <w:r>
              <w:rPr>
                <w:color w:val="1C2434"/>
                <w:sz w:val="16"/>
              </w:rPr>
              <w:t>Múltiplos pagadores para um beneficiário</w:t>
            </w:r>
          </w:p>
        </w:tc>
        <w:tc>
          <w:tcPr>
            <w:tcW w:type="dxa" w:w="4139"/>
            <w:tcMar>
              <w:top w:w="70" w:type="dxa"/>
              <w:start w:w="80" w:type="dxa"/>
              <w:bottom w:w="70" w:type="dxa"/>
              <w:end w:w="80" w:type="dxa"/>
            </w:tcMar>
            <w:shd w:fill="F8FAFD"/>
            <w:vAlign w:val="top"/>
          </w:tcPr>
          <w:p>
            <w:r>
              <w:rPr>
                <w:color w:val="1C2434"/>
                <w:sz w:val="16"/>
              </w:rPr>
              <w:t>Detectar arrecadação ilícita, fraude ou intermediação não declarada.</w:t>
            </w:r>
          </w:p>
        </w:tc>
      </w:tr>
      <w:tr>
        <w:trPr>
          <w:cantSplit/>
        </w:trPr>
        <w:tc>
          <w:tcPr>
            <w:tcW w:type="dxa" w:w="1134"/>
            <w:tcMar>
              <w:top w:w="70" w:type="dxa"/>
              <w:start w:w="80" w:type="dxa"/>
              <w:bottom w:w="70" w:type="dxa"/>
              <w:end w:w="80" w:type="dxa"/>
            </w:tcMar>
            <w:vAlign w:val="top"/>
          </w:tcPr>
          <w:p>
            <w:r>
              <w:rPr>
                <w:color w:val="1C2434"/>
                <w:sz w:val="16"/>
              </w:rPr>
              <w:t>TM-05</w:t>
            </w:r>
          </w:p>
        </w:tc>
        <w:tc>
          <w:tcPr>
            <w:tcW w:type="dxa" w:w="3798"/>
            <w:tcMar>
              <w:top w:w="70" w:type="dxa"/>
              <w:start w:w="80" w:type="dxa"/>
              <w:bottom w:w="70" w:type="dxa"/>
              <w:end w:w="80" w:type="dxa"/>
            </w:tcMar>
            <w:vAlign w:val="top"/>
          </w:tcPr>
          <w:p>
            <w:r>
              <w:rPr>
                <w:color w:val="1C2434"/>
                <w:sz w:val="16"/>
              </w:rPr>
              <w:t>Payout para terceiro novo após evento de segurança</w:t>
            </w:r>
          </w:p>
        </w:tc>
        <w:tc>
          <w:tcPr>
            <w:tcW w:type="dxa" w:w="4139"/>
            <w:tcMar>
              <w:top w:w="70" w:type="dxa"/>
              <w:start w:w="80" w:type="dxa"/>
              <w:bottom w:w="70" w:type="dxa"/>
              <w:end w:w="80" w:type="dxa"/>
            </w:tcMar>
            <w:vAlign w:val="top"/>
          </w:tcPr>
          <w:p>
            <w:r>
              <w:rPr>
                <w:color w:val="1C2434"/>
                <w:sz w:val="16"/>
              </w:rPr>
              <w:t>Reduzir takeover e desvio.</w:t>
            </w:r>
          </w:p>
        </w:tc>
      </w:tr>
      <w:tr>
        <w:trPr>
          <w:cantSplit/>
        </w:trPr>
        <w:tc>
          <w:tcPr>
            <w:tcW w:type="dxa" w:w="1134"/>
            <w:tcMar>
              <w:top w:w="70" w:type="dxa"/>
              <w:start w:w="80" w:type="dxa"/>
              <w:bottom w:w="70" w:type="dxa"/>
              <w:end w:w="80" w:type="dxa"/>
            </w:tcMar>
            <w:shd w:fill="F8FAFD"/>
            <w:vAlign w:val="top"/>
          </w:tcPr>
          <w:p>
            <w:r>
              <w:rPr>
                <w:color w:val="1C2434"/>
                <w:sz w:val="16"/>
              </w:rPr>
              <w:t>TM-06</w:t>
            </w:r>
          </w:p>
        </w:tc>
        <w:tc>
          <w:tcPr>
            <w:tcW w:type="dxa" w:w="3798"/>
            <w:tcMar>
              <w:top w:w="70" w:type="dxa"/>
              <w:start w:w="80" w:type="dxa"/>
              <w:bottom w:w="70" w:type="dxa"/>
              <w:end w:w="80" w:type="dxa"/>
            </w:tcMar>
            <w:shd w:fill="F8FAFD"/>
            <w:vAlign w:val="top"/>
          </w:tcPr>
          <w:p>
            <w:r>
              <w:rPr>
                <w:color w:val="1C2434"/>
                <w:sz w:val="16"/>
              </w:rPr>
              <w:t>Fracionamento / structuring</w:t>
            </w:r>
          </w:p>
        </w:tc>
        <w:tc>
          <w:tcPr>
            <w:tcW w:type="dxa" w:w="4139"/>
            <w:tcMar>
              <w:top w:w="70" w:type="dxa"/>
              <w:start w:w="80" w:type="dxa"/>
              <w:bottom w:w="70" w:type="dxa"/>
              <w:end w:w="80" w:type="dxa"/>
            </w:tcMar>
            <w:shd w:fill="F8FAFD"/>
            <w:vAlign w:val="top"/>
          </w:tcPr>
          <w:p>
            <w:r>
              <w:rPr>
                <w:color w:val="1C2434"/>
                <w:sz w:val="16"/>
              </w:rPr>
              <w:t>Detectar tentativa de contornar controles.</w:t>
            </w:r>
          </w:p>
        </w:tc>
      </w:tr>
      <w:tr>
        <w:trPr>
          <w:cantSplit/>
        </w:trPr>
        <w:tc>
          <w:tcPr>
            <w:tcW w:type="dxa" w:w="1134"/>
            <w:tcMar>
              <w:top w:w="70" w:type="dxa"/>
              <w:start w:w="80" w:type="dxa"/>
              <w:bottom w:w="70" w:type="dxa"/>
              <w:end w:w="80" w:type="dxa"/>
            </w:tcMar>
            <w:vAlign w:val="top"/>
          </w:tcPr>
          <w:p>
            <w:r>
              <w:rPr>
                <w:color w:val="1C2434"/>
                <w:sz w:val="16"/>
              </w:rPr>
              <w:t>TM-07</w:t>
            </w:r>
          </w:p>
        </w:tc>
        <w:tc>
          <w:tcPr>
            <w:tcW w:type="dxa" w:w="3798"/>
            <w:tcMar>
              <w:top w:w="70" w:type="dxa"/>
              <w:start w:w="80" w:type="dxa"/>
              <w:bottom w:w="70" w:type="dxa"/>
              <w:end w:w="80" w:type="dxa"/>
            </w:tcMar>
            <w:vAlign w:val="top"/>
          </w:tcPr>
          <w:p>
            <w:r>
              <w:rPr>
                <w:color w:val="1C2434"/>
                <w:sz w:val="16"/>
              </w:rPr>
              <w:t>Geo/device mismatch</w:t>
            </w:r>
          </w:p>
        </w:tc>
        <w:tc>
          <w:tcPr>
            <w:tcW w:type="dxa" w:w="4139"/>
            <w:tcMar>
              <w:top w:w="70" w:type="dxa"/>
              <w:start w:w="80" w:type="dxa"/>
              <w:bottom w:w="70" w:type="dxa"/>
              <w:end w:w="80" w:type="dxa"/>
            </w:tcMar>
            <w:vAlign w:val="top"/>
          </w:tcPr>
          <w:p>
            <w:r>
              <w:rPr>
                <w:color w:val="1C2434"/>
                <w:sz w:val="16"/>
              </w:rPr>
              <w:t>Detectar identidade comprometida e mule account.</w:t>
            </w:r>
          </w:p>
        </w:tc>
      </w:tr>
      <w:tr>
        <w:trPr>
          <w:cantSplit/>
        </w:trPr>
        <w:tc>
          <w:tcPr>
            <w:tcW w:type="dxa" w:w="1134"/>
            <w:tcMar>
              <w:top w:w="70" w:type="dxa"/>
              <w:start w:w="80" w:type="dxa"/>
              <w:bottom w:w="70" w:type="dxa"/>
              <w:end w:w="80" w:type="dxa"/>
            </w:tcMar>
            <w:shd w:fill="F8FAFD"/>
            <w:vAlign w:val="top"/>
          </w:tcPr>
          <w:p>
            <w:r>
              <w:rPr>
                <w:color w:val="1C2434"/>
                <w:sz w:val="16"/>
              </w:rPr>
              <w:t>TM-08</w:t>
            </w:r>
          </w:p>
        </w:tc>
        <w:tc>
          <w:tcPr>
            <w:tcW w:type="dxa" w:w="3798"/>
            <w:tcMar>
              <w:top w:w="70" w:type="dxa"/>
              <w:start w:w="80" w:type="dxa"/>
              <w:bottom w:w="70" w:type="dxa"/>
              <w:end w:w="80" w:type="dxa"/>
            </w:tcMar>
            <w:shd w:fill="F8FAFD"/>
            <w:vAlign w:val="top"/>
          </w:tcPr>
          <w:p>
            <w:r>
              <w:rPr>
                <w:color w:val="1C2434"/>
                <w:sz w:val="16"/>
              </w:rPr>
              <w:t>Chargeback/MED anormal</w:t>
            </w:r>
          </w:p>
        </w:tc>
        <w:tc>
          <w:tcPr>
            <w:tcW w:type="dxa" w:w="4139"/>
            <w:tcMar>
              <w:top w:w="70" w:type="dxa"/>
              <w:start w:w="80" w:type="dxa"/>
              <w:bottom w:w="70" w:type="dxa"/>
              <w:end w:w="80" w:type="dxa"/>
            </w:tcMar>
            <w:shd w:fill="F8FAFD"/>
            <w:vAlign w:val="top"/>
          </w:tcPr>
          <w:p>
            <w:r>
              <w:rPr>
                <w:color w:val="1C2434"/>
                <w:sz w:val="16"/>
              </w:rPr>
              <w:t>Detectar fraude comercial ou engenharia social.</w:t>
            </w:r>
          </w:p>
        </w:tc>
      </w:tr>
      <w:tr>
        <w:trPr>
          <w:cantSplit/>
        </w:trPr>
        <w:tc>
          <w:tcPr>
            <w:tcW w:type="dxa" w:w="1134"/>
            <w:tcMar>
              <w:top w:w="70" w:type="dxa"/>
              <w:start w:w="80" w:type="dxa"/>
              <w:bottom w:w="70" w:type="dxa"/>
              <w:end w:w="80" w:type="dxa"/>
            </w:tcMar>
            <w:vAlign w:val="top"/>
          </w:tcPr>
          <w:p>
            <w:r>
              <w:rPr>
                <w:color w:val="1C2434"/>
                <w:sz w:val="16"/>
              </w:rPr>
              <w:t>TM-09</w:t>
            </w:r>
          </w:p>
        </w:tc>
        <w:tc>
          <w:tcPr>
            <w:tcW w:type="dxa" w:w="3798"/>
            <w:tcMar>
              <w:top w:w="70" w:type="dxa"/>
              <w:start w:w="80" w:type="dxa"/>
              <w:bottom w:w="70" w:type="dxa"/>
              <w:end w:w="80" w:type="dxa"/>
            </w:tcMar>
            <w:vAlign w:val="top"/>
          </w:tcPr>
          <w:p>
            <w:r>
              <w:rPr>
                <w:color w:val="1C2434"/>
                <w:sz w:val="16"/>
              </w:rPr>
              <w:t>Blockchain high-risk exposure</w:t>
            </w:r>
          </w:p>
        </w:tc>
        <w:tc>
          <w:tcPr>
            <w:tcW w:type="dxa" w:w="4139"/>
            <w:tcMar>
              <w:top w:w="70" w:type="dxa"/>
              <w:start w:w="80" w:type="dxa"/>
              <w:bottom w:w="70" w:type="dxa"/>
              <w:end w:w="80" w:type="dxa"/>
            </w:tcMar>
            <w:vAlign w:val="top"/>
          </w:tcPr>
          <w:p>
            <w:r>
              <w:rPr>
                <w:color w:val="1C2434"/>
                <w:sz w:val="16"/>
              </w:rPr>
              <w:t>Detectar sanções, darknet, scam, ransomware, mixer e theft.</w:t>
            </w:r>
          </w:p>
        </w:tc>
      </w:tr>
      <w:tr>
        <w:trPr>
          <w:cantSplit/>
        </w:trPr>
        <w:tc>
          <w:tcPr>
            <w:tcW w:type="dxa" w:w="1134"/>
            <w:tcMar>
              <w:top w:w="70" w:type="dxa"/>
              <w:start w:w="80" w:type="dxa"/>
              <w:bottom w:w="70" w:type="dxa"/>
              <w:end w:w="80" w:type="dxa"/>
            </w:tcMar>
            <w:shd w:fill="F8FAFD"/>
            <w:vAlign w:val="top"/>
          </w:tcPr>
          <w:p>
            <w:r>
              <w:rPr>
                <w:color w:val="1C2434"/>
                <w:sz w:val="16"/>
              </w:rPr>
              <w:t>TM-10</w:t>
            </w:r>
          </w:p>
        </w:tc>
        <w:tc>
          <w:tcPr>
            <w:tcW w:type="dxa" w:w="3798"/>
            <w:tcMar>
              <w:top w:w="70" w:type="dxa"/>
              <w:start w:w="80" w:type="dxa"/>
              <w:bottom w:w="70" w:type="dxa"/>
              <w:end w:w="80" w:type="dxa"/>
            </w:tcMar>
            <w:shd w:fill="F8FAFD"/>
            <w:vAlign w:val="top"/>
          </w:tcPr>
          <w:p>
            <w:r>
              <w:rPr>
                <w:color w:val="1C2434"/>
                <w:sz w:val="16"/>
              </w:rPr>
              <w:t>Fiat-cripto-fiat em alta velocidade</w:t>
            </w:r>
          </w:p>
        </w:tc>
        <w:tc>
          <w:tcPr>
            <w:tcW w:type="dxa" w:w="4139"/>
            <w:tcMar>
              <w:top w:w="70" w:type="dxa"/>
              <w:start w:w="80" w:type="dxa"/>
              <w:bottom w:w="70" w:type="dxa"/>
              <w:end w:w="80" w:type="dxa"/>
            </w:tcMar>
            <w:shd w:fill="F8FAFD"/>
            <w:vAlign w:val="top"/>
          </w:tcPr>
          <w:p>
            <w:r>
              <w:rPr>
                <w:color w:val="1C2434"/>
                <w:sz w:val="16"/>
              </w:rPr>
              <w:t>Detectar layering e conversão sem propósito econômico.</w:t>
            </w:r>
          </w:p>
        </w:tc>
      </w:tr>
      <w:tr>
        <w:trPr>
          <w:cantSplit/>
        </w:trPr>
        <w:tc>
          <w:tcPr>
            <w:tcW w:type="dxa" w:w="1134"/>
            <w:tcMar>
              <w:top w:w="70" w:type="dxa"/>
              <w:start w:w="80" w:type="dxa"/>
              <w:bottom w:w="70" w:type="dxa"/>
              <w:end w:w="80" w:type="dxa"/>
            </w:tcMar>
            <w:vAlign w:val="top"/>
          </w:tcPr>
          <w:p>
            <w:r>
              <w:rPr>
                <w:color w:val="1C2434"/>
                <w:sz w:val="16"/>
              </w:rPr>
              <w:t>TM-11</w:t>
            </w:r>
          </w:p>
        </w:tc>
        <w:tc>
          <w:tcPr>
            <w:tcW w:type="dxa" w:w="3798"/>
            <w:tcMar>
              <w:top w:w="70" w:type="dxa"/>
              <w:start w:w="80" w:type="dxa"/>
              <w:bottom w:w="70" w:type="dxa"/>
              <w:end w:w="80" w:type="dxa"/>
            </w:tcMar>
            <w:vAlign w:val="top"/>
          </w:tcPr>
          <w:p>
            <w:r>
              <w:rPr>
                <w:color w:val="1C2434"/>
                <w:sz w:val="16"/>
              </w:rPr>
              <w:t>Self-hosted wallet de alto risco</w:t>
            </w:r>
          </w:p>
        </w:tc>
        <w:tc>
          <w:tcPr>
            <w:tcW w:type="dxa" w:w="4139"/>
            <w:tcMar>
              <w:top w:w="70" w:type="dxa"/>
              <w:start w:w="80" w:type="dxa"/>
              <w:bottom w:w="70" w:type="dxa"/>
              <w:end w:w="80" w:type="dxa"/>
            </w:tcMar>
            <w:vAlign w:val="top"/>
          </w:tcPr>
          <w:p>
            <w:r>
              <w:rPr>
                <w:color w:val="1C2434"/>
                <w:sz w:val="16"/>
              </w:rPr>
              <w:t>Exigir prova de controle e EDD quando necessário.</w:t>
            </w:r>
          </w:p>
        </w:tc>
      </w:tr>
      <w:tr>
        <w:trPr>
          <w:cantSplit/>
        </w:trPr>
        <w:tc>
          <w:tcPr>
            <w:tcW w:type="dxa" w:w="1134"/>
            <w:tcMar>
              <w:top w:w="70" w:type="dxa"/>
              <w:start w:w="80" w:type="dxa"/>
              <w:bottom w:w="70" w:type="dxa"/>
              <w:end w:w="80" w:type="dxa"/>
            </w:tcMar>
            <w:shd w:fill="F8FAFD"/>
            <w:vAlign w:val="top"/>
          </w:tcPr>
          <w:p>
            <w:r>
              <w:rPr>
                <w:color w:val="1C2434"/>
                <w:sz w:val="16"/>
              </w:rPr>
              <w:t>TM-12</w:t>
            </w:r>
          </w:p>
        </w:tc>
        <w:tc>
          <w:tcPr>
            <w:tcW w:type="dxa" w:w="3798"/>
            <w:tcMar>
              <w:top w:w="70" w:type="dxa"/>
              <w:start w:w="80" w:type="dxa"/>
              <w:bottom w:w="70" w:type="dxa"/>
              <w:end w:w="80" w:type="dxa"/>
            </w:tcMar>
            <w:shd w:fill="F8FAFD"/>
            <w:vAlign w:val="top"/>
          </w:tcPr>
          <w:p>
            <w:r>
              <w:rPr>
                <w:color w:val="1C2434"/>
                <w:sz w:val="16"/>
              </w:rPr>
              <w:t>Jurisdição de maior risco</w:t>
            </w:r>
          </w:p>
        </w:tc>
        <w:tc>
          <w:tcPr>
            <w:tcW w:type="dxa" w:w="4139"/>
            <w:tcMar>
              <w:top w:w="70" w:type="dxa"/>
              <w:start w:w="80" w:type="dxa"/>
              <w:bottom w:w="70" w:type="dxa"/>
              <w:end w:w="80" w:type="dxa"/>
            </w:tcMar>
            <w:shd w:fill="F8FAFD"/>
            <w:vAlign w:val="top"/>
          </w:tcPr>
          <w:p>
            <w:r>
              <w:rPr>
                <w:color w:val="1C2434"/>
                <w:sz w:val="16"/>
              </w:rPr>
              <w:t>Reforçar origem, destino, finalidade e contraparte.</w:t>
            </w:r>
          </w:p>
        </w:tc>
      </w:tr>
      <w:tr>
        <w:trPr>
          <w:cantSplit/>
        </w:trPr>
        <w:tc>
          <w:tcPr>
            <w:tcW w:type="dxa" w:w="1134"/>
            <w:tcMar>
              <w:top w:w="70" w:type="dxa"/>
              <w:start w:w="80" w:type="dxa"/>
              <w:bottom w:w="70" w:type="dxa"/>
              <w:end w:w="80" w:type="dxa"/>
            </w:tcMar>
            <w:vAlign w:val="top"/>
          </w:tcPr>
          <w:p>
            <w:r>
              <w:rPr>
                <w:color w:val="1C2434"/>
                <w:sz w:val="16"/>
              </w:rPr>
              <w:t>TM-13</w:t>
            </w:r>
          </w:p>
        </w:tc>
        <w:tc>
          <w:tcPr>
            <w:tcW w:type="dxa" w:w="3798"/>
            <w:tcMar>
              <w:top w:w="70" w:type="dxa"/>
              <w:start w:w="80" w:type="dxa"/>
              <w:bottom w:w="70" w:type="dxa"/>
              <w:end w:w="80" w:type="dxa"/>
            </w:tcMar>
            <w:vAlign w:val="top"/>
          </w:tcPr>
          <w:p>
            <w:r>
              <w:rPr>
                <w:color w:val="1C2434"/>
                <w:sz w:val="16"/>
              </w:rPr>
              <w:t>Cliente inativo que retorna com volume alto</w:t>
            </w:r>
          </w:p>
        </w:tc>
        <w:tc>
          <w:tcPr>
            <w:tcW w:type="dxa" w:w="4139"/>
            <w:tcMar>
              <w:top w:w="70" w:type="dxa"/>
              <w:start w:w="80" w:type="dxa"/>
              <w:bottom w:w="70" w:type="dxa"/>
              <w:end w:w="80" w:type="dxa"/>
            </w:tcMar>
            <w:vAlign w:val="top"/>
          </w:tcPr>
          <w:p>
            <w:r>
              <w:rPr>
                <w:color w:val="1C2434"/>
                <w:sz w:val="16"/>
              </w:rPr>
              <w:t>Revalidar dados e contexto antes de ampliar limite.</w:t>
            </w:r>
          </w:p>
        </w:tc>
      </w:tr>
      <w:tr>
        <w:trPr>
          <w:cantSplit/>
        </w:trPr>
        <w:tc>
          <w:tcPr>
            <w:tcW w:type="dxa" w:w="1134"/>
            <w:tcMar>
              <w:top w:w="70" w:type="dxa"/>
              <w:start w:w="80" w:type="dxa"/>
              <w:bottom w:w="70" w:type="dxa"/>
              <w:end w:w="80" w:type="dxa"/>
            </w:tcMar>
            <w:shd w:fill="F8FAFD"/>
            <w:vAlign w:val="top"/>
          </w:tcPr>
          <w:p>
            <w:r>
              <w:rPr>
                <w:color w:val="1C2434"/>
                <w:sz w:val="16"/>
              </w:rPr>
              <w:t>TM-14</w:t>
            </w:r>
          </w:p>
        </w:tc>
        <w:tc>
          <w:tcPr>
            <w:tcW w:type="dxa" w:w="3798"/>
            <w:tcMar>
              <w:top w:w="70" w:type="dxa"/>
              <w:start w:w="80" w:type="dxa"/>
              <w:bottom w:w="70" w:type="dxa"/>
              <w:end w:w="80" w:type="dxa"/>
            </w:tcMar>
            <w:shd w:fill="F8FAFD"/>
            <w:vAlign w:val="top"/>
          </w:tcPr>
          <w:p>
            <w:r>
              <w:rPr>
                <w:color w:val="1C2434"/>
                <w:sz w:val="16"/>
              </w:rPr>
              <w:t>Vários clientes vinculados por infraestrutura</w:t>
            </w:r>
          </w:p>
        </w:tc>
        <w:tc>
          <w:tcPr>
            <w:tcW w:type="dxa" w:w="4139"/>
            <w:tcMar>
              <w:top w:w="70" w:type="dxa"/>
              <w:start w:w="80" w:type="dxa"/>
              <w:bottom w:w="70" w:type="dxa"/>
              <w:end w:w="80" w:type="dxa"/>
            </w:tcMar>
            <w:shd w:fill="F8FAFD"/>
            <w:vAlign w:val="top"/>
          </w:tcPr>
          <w:p>
            <w:r>
              <w:rPr>
                <w:color w:val="1C2434"/>
                <w:sz w:val="16"/>
              </w:rPr>
              <w:t>Detectar rede coordenada, fraude ou operação por terceiro.</w:t>
            </w:r>
          </w:p>
        </w:tc>
      </w:tr>
      <w:tr>
        <w:trPr>
          <w:cantSplit/>
        </w:trPr>
        <w:tc>
          <w:tcPr>
            <w:tcW w:type="dxa" w:w="1134"/>
            <w:tcMar>
              <w:top w:w="70" w:type="dxa"/>
              <w:start w:w="80" w:type="dxa"/>
              <w:bottom w:w="70" w:type="dxa"/>
              <w:end w:w="80" w:type="dxa"/>
            </w:tcMar>
            <w:vAlign w:val="top"/>
          </w:tcPr>
          <w:p>
            <w:r>
              <w:rPr>
                <w:color w:val="1C2434"/>
                <w:sz w:val="16"/>
              </w:rPr>
              <w:t>TM-15</w:t>
            </w:r>
          </w:p>
        </w:tc>
        <w:tc>
          <w:tcPr>
            <w:tcW w:type="dxa" w:w="3798"/>
            <w:tcMar>
              <w:top w:w="70" w:type="dxa"/>
              <w:start w:w="80" w:type="dxa"/>
              <w:bottom w:w="70" w:type="dxa"/>
              <w:end w:w="80" w:type="dxa"/>
            </w:tcMar>
            <w:vAlign w:val="top"/>
          </w:tcPr>
          <w:p>
            <w:r>
              <w:rPr>
                <w:color w:val="1C2434"/>
                <w:sz w:val="16"/>
              </w:rPr>
              <w:t>Incompatibilidade faturamento x TPV</w:t>
            </w:r>
          </w:p>
        </w:tc>
        <w:tc>
          <w:tcPr>
            <w:tcW w:type="dxa" w:w="4139"/>
            <w:tcMar>
              <w:top w:w="70" w:type="dxa"/>
              <w:start w:w="80" w:type="dxa"/>
              <w:bottom w:w="70" w:type="dxa"/>
              <w:end w:w="80" w:type="dxa"/>
            </w:tcMar>
            <w:vAlign w:val="top"/>
          </w:tcPr>
          <w:p>
            <w:r>
              <w:rPr>
                <w:color w:val="1C2434"/>
                <w:sz w:val="16"/>
              </w:rPr>
              <w:t>Detectar negócio real diferente do declarado ou volume sem lastro.</w:t>
            </w:r>
          </w:p>
        </w:tc>
      </w:tr>
    </w:tbl>
    <w:p>
      <w:pPr>
        <w:spacing w:after="0"/>
      </w:pPr>
    </w:p>
    <w:p>
      <w:r>
        <w:br w:type="page"/>
      </w:r>
    </w:p>
    <w:p>
      <w:pPr>
        <w:pStyle w:val="Heading1"/>
      </w:pPr>
      <w:r>
        <w:t>ANEXO VI - Formulário de EDD para operação high ticket / payout / cripto</w:t>
      </w:r>
    </w:p>
    <w:tbl>
      <w:tblPr>
        <w:tblStyle w:val="TableGrid"/>
        <w:tblW w:type="auto" w:w="0"/>
        <w:jc w:val="center"/>
        <w:tblLook w:firstColumn="1" w:firstRow="1" w:lastColumn="0" w:lastRow="0" w:noHBand="0" w:noVBand="1" w:val="04A0"/>
      </w:tblPr>
      <w:tblGrid>
        <w:gridCol w:w="4986"/>
        <w:gridCol w:w="4986"/>
      </w:tblGrid>
      <w:tr>
        <w:trPr>
          <w:tblHeader w:val="true"/>
        </w:trPr>
        <w:tc>
          <w:tcPr>
            <w:tcW w:type="dxa" w:w="3061"/>
            <w:shd w:fill="071A52"/>
            <w:tcMar>
              <w:top w:w="90" w:type="dxa"/>
              <w:start w:w="90" w:type="dxa"/>
              <w:bottom w:w="90" w:type="dxa"/>
              <w:end w:w="90" w:type="dxa"/>
            </w:tcMar>
            <w:vAlign w:val="center"/>
          </w:tcPr>
          <w:p>
            <w:pPr>
              <w:jc w:val="left"/>
            </w:pPr>
            <w:r/>
            <w:r>
              <w:rPr>
                <w:b/>
                <w:color w:val="FFFFFF"/>
                <w:sz w:val="16"/>
              </w:rPr>
              <w:t>Campo</w:t>
            </w:r>
          </w:p>
        </w:tc>
        <w:tc>
          <w:tcPr>
            <w:tcW w:type="dxa" w:w="6009"/>
            <w:shd w:fill="071A52"/>
            <w:tcMar>
              <w:top w:w="90" w:type="dxa"/>
              <w:start w:w="90" w:type="dxa"/>
              <w:bottom w:w="90" w:type="dxa"/>
              <w:end w:w="90" w:type="dxa"/>
            </w:tcMar>
            <w:vAlign w:val="center"/>
          </w:tcPr>
          <w:p>
            <w:pPr>
              <w:jc w:val="left"/>
            </w:pPr>
            <w:r/>
            <w:r>
              <w:rPr>
                <w:b/>
                <w:color w:val="FFFFFF"/>
                <w:sz w:val="16"/>
              </w:rPr>
              <w:t>Preenchimento</w:t>
            </w:r>
          </w:p>
        </w:tc>
      </w:tr>
      <w:tr>
        <w:trPr>
          <w:cantSplit/>
        </w:trPr>
        <w:tc>
          <w:tcPr>
            <w:tcW w:type="dxa" w:w="3061"/>
            <w:tcMar>
              <w:top w:w="70" w:type="dxa"/>
              <w:start w:w="80" w:type="dxa"/>
              <w:bottom w:w="70" w:type="dxa"/>
              <w:end w:w="80" w:type="dxa"/>
            </w:tcMar>
            <w:vAlign w:val="top"/>
          </w:tcPr>
          <w:p>
            <w:r>
              <w:rPr>
                <w:color w:val="1C2434"/>
                <w:sz w:val="16"/>
              </w:rPr>
              <w:t>Cliente / CNPJ</w:t>
            </w:r>
          </w:p>
        </w:tc>
        <w:tc>
          <w:tcPr>
            <w:tcW w:type="dxa" w:w="6009"/>
            <w:tcMar>
              <w:top w:w="70" w:type="dxa"/>
              <w:start w:w="80" w:type="dxa"/>
              <w:bottom w:w="70" w:type="dxa"/>
              <w:end w:w="80" w:type="dxa"/>
            </w:tcMar>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shd w:fill="F8FAFD"/>
            <w:vAlign w:val="top"/>
          </w:tcPr>
          <w:p>
            <w:r>
              <w:rPr>
                <w:color w:val="1C2434"/>
                <w:sz w:val="16"/>
              </w:rPr>
              <w:t>Produto Nuvra</w:t>
            </w:r>
          </w:p>
        </w:tc>
        <w:tc>
          <w:tcPr>
            <w:tcW w:type="dxa" w:w="6009"/>
            <w:tcMar>
              <w:top w:w="70" w:type="dxa"/>
              <w:start w:w="80" w:type="dxa"/>
              <w:bottom w:w="70" w:type="dxa"/>
              <w:end w:w="80" w:type="dxa"/>
            </w:tcMar>
            <w:shd w:fill="F8FAFD"/>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vAlign w:val="top"/>
          </w:tcPr>
          <w:p>
            <w:r>
              <w:rPr>
                <w:color w:val="1C2434"/>
                <w:sz w:val="16"/>
              </w:rPr>
              <w:t>Valor / volume</w:t>
            </w:r>
          </w:p>
        </w:tc>
        <w:tc>
          <w:tcPr>
            <w:tcW w:type="dxa" w:w="6009"/>
            <w:tcMar>
              <w:top w:w="70" w:type="dxa"/>
              <w:start w:w="80" w:type="dxa"/>
              <w:bottom w:w="70" w:type="dxa"/>
              <w:end w:w="80" w:type="dxa"/>
            </w:tcMar>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shd w:fill="F8FAFD"/>
            <w:vAlign w:val="top"/>
          </w:tcPr>
          <w:p>
            <w:r>
              <w:rPr>
                <w:color w:val="1C2434"/>
                <w:sz w:val="16"/>
              </w:rPr>
              <w:t>Origem dos recursos</w:t>
            </w:r>
          </w:p>
        </w:tc>
        <w:tc>
          <w:tcPr>
            <w:tcW w:type="dxa" w:w="6009"/>
            <w:tcMar>
              <w:top w:w="70" w:type="dxa"/>
              <w:start w:w="80" w:type="dxa"/>
              <w:bottom w:w="70" w:type="dxa"/>
              <w:end w:w="80" w:type="dxa"/>
            </w:tcMar>
            <w:shd w:fill="F8FAFD"/>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vAlign w:val="top"/>
          </w:tcPr>
          <w:p>
            <w:r>
              <w:rPr>
                <w:color w:val="1C2434"/>
                <w:sz w:val="16"/>
              </w:rPr>
              <w:t>Destino / beneficiário</w:t>
            </w:r>
          </w:p>
        </w:tc>
        <w:tc>
          <w:tcPr>
            <w:tcW w:type="dxa" w:w="6009"/>
            <w:tcMar>
              <w:top w:w="70" w:type="dxa"/>
              <w:start w:w="80" w:type="dxa"/>
              <w:bottom w:w="70" w:type="dxa"/>
              <w:end w:w="80" w:type="dxa"/>
            </w:tcMar>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shd w:fill="F8FAFD"/>
            <w:vAlign w:val="top"/>
          </w:tcPr>
          <w:p>
            <w:r>
              <w:rPr>
                <w:color w:val="1C2434"/>
                <w:sz w:val="16"/>
              </w:rPr>
              <w:t>Finalidade econômica</w:t>
            </w:r>
          </w:p>
        </w:tc>
        <w:tc>
          <w:tcPr>
            <w:tcW w:type="dxa" w:w="6009"/>
            <w:tcMar>
              <w:top w:w="70" w:type="dxa"/>
              <w:start w:w="80" w:type="dxa"/>
              <w:bottom w:w="70" w:type="dxa"/>
              <w:end w:w="80" w:type="dxa"/>
            </w:tcMar>
            <w:shd w:fill="F8FAFD"/>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vAlign w:val="top"/>
          </w:tcPr>
          <w:p>
            <w:r>
              <w:rPr>
                <w:color w:val="1C2434"/>
                <w:sz w:val="16"/>
              </w:rPr>
              <w:t>Documento de suporte</w:t>
            </w:r>
          </w:p>
        </w:tc>
        <w:tc>
          <w:tcPr>
            <w:tcW w:type="dxa" w:w="6009"/>
            <w:tcMar>
              <w:top w:w="70" w:type="dxa"/>
              <w:start w:w="80" w:type="dxa"/>
              <w:bottom w:w="70" w:type="dxa"/>
              <w:end w:w="80" w:type="dxa"/>
            </w:tcMar>
            <w:vAlign w:val="top"/>
          </w:tcPr>
          <w:p>
            <w:r>
              <w:rPr>
                <w:color w:val="1C2434"/>
                <w:sz w:val="16"/>
              </w:rPr>
              <w:t>Contrato / invoice / NF / extrato / outro: __________________</w:t>
            </w:r>
          </w:p>
        </w:tc>
      </w:tr>
      <w:tr>
        <w:trPr>
          <w:cantSplit/>
        </w:trPr>
        <w:tc>
          <w:tcPr>
            <w:tcW w:type="dxa" w:w="3061"/>
            <w:tcMar>
              <w:top w:w="70" w:type="dxa"/>
              <w:start w:w="80" w:type="dxa"/>
              <w:bottom w:w="70" w:type="dxa"/>
              <w:end w:w="80" w:type="dxa"/>
            </w:tcMar>
            <w:shd w:fill="F8FAFD"/>
            <w:vAlign w:val="top"/>
          </w:tcPr>
          <w:p>
            <w:r>
              <w:rPr>
                <w:color w:val="1C2434"/>
                <w:sz w:val="16"/>
              </w:rPr>
              <w:t>Conta ou carteira de destino</w:t>
            </w:r>
          </w:p>
        </w:tc>
        <w:tc>
          <w:tcPr>
            <w:tcW w:type="dxa" w:w="6009"/>
            <w:tcMar>
              <w:top w:w="70" w:type="dxa"/>
              <w:start w:w="80" w:type="dxa"/>
              <w:bottom w:w="70" w:type="dxa"/>
              <w:end w:w="80" w:type="dxa"/>
            </w:tcMar>
            <w:shd w:fill="F8FAFD"/>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vAlign w:val="top"/>
          </w:tcPr>
          <w:p>
            <w:r>
              <w:rPr>
                <w:color w:val="1C2434"/>
                <w:sz w:val="16"/>
              </w:rPr>
              <w:t>Screening PEP/sanções</w:t>
            </w:r>
          </w:p>
        </w:tc>
        <w:tc>
          <w:tcPr>
            <w:tcW w:type="dxa" w:w="6009"/>
            <w:tcMar>
              <w:top w:w="70" w:type="dxa"/>
              <w:start w:w="80" w:type="dxa"/>
              <w:bottom w:w="70" w:type="dxa"/>
              <w:end w:w="80" w:type="dxa"/>
            </w:tcMar>
            <w:vAlign w:val="top"/>
          </w:tcPr>
          <w:p>
            <w:r>
              <w:rPr>
                <w:color w:val="1C2434"/>
                <w:sz w:val="16"/>
              </w:rPr>
              <w:t>OK / Alerta / N/A</w:t>
            </w:r>
          </w:p>
        </w:tc>
      </w:tr>
      <w:tr>
        <w:trPr>
          <w:cantSplit/>
        </w:trPr>
        <w:tc>
          <w:tcPr>
            <w:tcW w:type="dxa" w:w="3061"/>
            <w:tcMar>
              <w:top w:w="70" w:type="dxa"/>
              <w:start w:w="80" w:type="dxa"/>
              <w:bottom w:w="70" w:type="dxa"/>
              <w:end w:w="80" w:type="dxa"/>
            </w:tcMar>
            <w:shd w:fill="F8FAFD"/>
            <w:vAlign w:val="top"/>
          </w:tcPr>
          <w:p>
            <w:r>
              <w:rPr>
                <w:color w:val="1C2434"/>
                <w:sz w:val="16"/>
              </w:rPr>
              <w:t>Blockchain screening</w:t>
            </w:r>
          </w:p>
        </w:tc>
        <w:tc>
          <w:tcPr>
            <w:tcW w:type="dxa" w:w="6009"/>
            <w:tcMar>
              <w:top w:w="70" w:type="dxa"/>
              <w:start w:w="80" w:type="dxa"/>
              <w:bottom w:w="70" w:type="dxa"/>
              <w:end w:w="80" w:type="dxa"/>
            </w:tcMar>
            <w:shd w:fill="F8FAFD"/>
            <w:vAlign w:val="top"/>
          </w:tcPr>
          <w:p>
            <w:r>
              <w:rPr>
                <w:color w:val="1C2434"/>
                <w:sz w:val="16"/>
              </w:rPr>
              <w:t>OK / Alerta / N/A</w:t>
            </w:r>
          </w:p>
        </w:tc>
      </w:tr>
      <w:tr>
        <w:trPr>
          <w:cantSplit/>
        </w:trPr>
        <w:tc>
          <w:tcPr>
            <w:tcW w:type="dxa" w:w="3061"/>
            <w:tcMar>
              <w:top w:w="70" w:type="dxa"/>
              <w:start w:w="80" w:type="dxa"/>
              <w:bottom w:w="70" w:type="dxa"/>
              <w:end w:w="80" w:type="dxa"/>
            </w:tcMar>
            <w:vAlign w:val="top"/>
          </w:tcPr>
          <w:p>
            <w:r>
              <w:rPr>
                <w:color w:val="1C2434"/>
                <w:sz w:val="16"/>
              </w:rPr>
              <w:t>Risco final</w:t>
            </w:r>
          </w:p>
        </w:tc>
        <w:tc>
          <w:tcPr>
            <w:tcW w:type="dxa" w:w="6009"/>
            <w:tcMar>
              <w:top w:w="70" w:type="dxa"/>
              <w:start w:w="80" w:type="dxa"/>
              <w:bottom w:w="70" w:type="dxa"/>
              <w:end w:w="80" w:type="dxa"/>
            </w:tcMar>
            <w:vAlign w:val="top"/>
          </w:tcPr>
          <w:p>
            <w:r>
              <w:rPr>
                <w:color w:val="1C2434"/>
                <w:sz w:val="16"/>
              </w:rPr>
              <w:t>Baixo / Médio / Alto / Muito alto / Inaceitável</w:t>
            </w:r>
          </w:p>
        </w:tc>
      </w:tr>
      <w:tr>
        <w:trPr>
          <w:cantSplit/>
        </w:trPr>
        <w:tc>
          <w:tcPr>
            <w:tcW w:type="dxa" w:w="3061"/>
            <w:tcMar>
              <w:top w:w="70" w:type="dxa"/>
              <w:start w:w="80" w:type="dxa"/>
              <w:bottom w:w="70" w:type="dxa"/>
              <w:end w:w="80" w:type="dxa"/>
            </w:tcMar>
            <w:shd w:fill="F8FAFD"/>
            <w:vAlign w:val="top"/>
          </w:tcPr>
          <w:p>
            <w:r>
              <w:rPr>
                <w:color w:val="1C2434"/>
                <w:sz w:val="16"/>
              </w:rPr>
              <w:t>Decisão</w:t>
            </w:r>
          </w:p>
        </w:tc>
        <w:tc>
          <w:tcPr>
            <w:tcW w:type="dxa" w:w="6009"/>
            <w:tcMar>
              <w:top w:w="70" w:type="dxa"/>
              <w:start w:w="80" w:type="dxa"/>
              <w:bottom w:w="70" w:type="dxa"/>
              <w:end w:w="80" w:type="dxa"/>
            </w:tcMar>
            <w:shd w:fill="F8FAFD"/>
            <w:vAlign w:val="top"/>
          </w:tcPr>
          <w:p>
            <w:r>
              <w:rPr>
                <w:color w:val="1C2434"/>
                <w:sz w:val="16"/>
              </w:rPr>
              <w:t>Aprovar / Aprovar com limite / Solicitar informação / Rejeitar / Encerrar</w:t>
            </w:r>
          </w:p>
        </w:tc>
      </w:tr>
      <w:tr>
        <w:trPr>
          <w:cantSplit/>
        </w:trPr>
        <w:tc>
          <w:tcPr>
            <w:tcW w:type="dxa" w:w="3061"/>
            <w:tcMar>
              <w:top w:w="70" w:type="dxa"/>
              <w:start w:w="80" w:type="dxa"/>
              <w:bottom w:w="70" w:type="dxa"/>
              <w:end w:w="80" w:type="dxa"/>
            </w:tcMar>
            <w:vAlign w:val="top"/>
          </w:tcPr>
          <w:p>
            <w:r>
              <w:rPr>
                <w:color w:val="1C2434"/>
                <w:sz w:val="16"/>
              </w:rPr>
              <w:t>Analista / data</w:t>
            </w:r>
          </w:p>
        </w:tc>
        <w:tc>
          <w:tcPr>
            <w:tcW w:type="dxa" w:w="6009"/>
            <w:tcMar>
              <w:top w:w="70" w:type="dxa"/>
              <w:start w:w="80" w:type="dxa"/>
              <w:bottom w:w="70" w:type="dxa"/>
              <w:end w:w="80" w:type="dxa"/>
            </w:tcMar>
            <w:vAlign w:val="top"/>
          </w:tcPr>
          <w:p>
            <w:r>
              <w:rPr>
                <w:color w:val="1C2434"/>
                <w:sz w:val="16"/>
              </w:rPr>
              <w:t>____________________________________________</w:t>
            </w:r>
          </w:p>
        </w:tc>
      </w:tr>
      <w:tr>
        <w:trPr>
          <w:cantSplit/>
        </w:trPr>
        <w:tc>
          <w:tcPr>
            <w:tcW w:type="dxa" w:w="3061"/>
            <w:tcMar>
              <w:top w:w="70" w:type="dxa"/>
              <w:start w:w="80" w:type="dxa"/>
              <w:bottom w:w="70" w:type="dxa"/>
              <w:end w:w="80" w:type="dxa"/>
            </w:tcMar>
            <w:shd w:fill="F8FAFD"/>
            <w:vAlign w:val="top"/>
          </w:tcPr>
          <w:p>
            <w:r>
              <w:rPr>
                <w:color w:val="1C2434"/>
                <w:sz w:val="16"/>
              </w:rPr>
              <w:t>Aprovador / data</w:t>
            </w:r>
          </w:p>
        </w:tc>
        <w:tc>
          <w:tcPr>
            <w:tcW w:type="dxa" w:w="6009"/>
            <w:tcMar>
              <w:top w:w="70" w:type="dxa"/>
              <w:start w:w="80" w:type="dxa"/>
              <w:bottom w:w="70" w:type="dxa"/>
              <w:end w:w="80" w:type="dxa"/>
            </w:tcMar>
            <w:shd w:fill="F8FAFD"/>
            <w:vAlign w:val="top"/>
          </w:tcPr>
          <w:p>
            <w:r>
              <w:rPr>
                <w:color w:val="1C2434"/>
                <w:sz w:val="16"/>
              </w:rPr>
              <w:t>____________________________________________</w:t>
            </w:r>
          </w:p>
        </w:tc>
      </w:tr>
    </w:tbl>
    <w:p>
      <w:pPr>
        <w:spacing w:after="0"/>
      </w:pPr>
    </w:p>
    <w:p>
      <w:r>
        <w:br w:type="page"/>
      </w:r>
    </w:p>
    <w:p>
      <w:pPr>
        <w:pStyle w:val="Heading1"/>
      </w:pPr>
      <w:r>
        <w:t>Referências normativas consultadas</w:t>
      </w:r>
    </w:p>
    <w:p>
      <w:pPr>
        <w:pStyle w:val="Small"/>
      </w:pPr>
      <w:r>
        <w:t>Banco Central do Brasil. Circular nº 3.978, de 23 de janeiro de 2020, e alterações posteriores.</w:t>
      </w:r>
    </w:p>
    <w:p>
      <w:pPr>
        <w:pStyle w:val="Small"/>
      </w:pPr>
      <w:r>
        <w:t>Banco Central do Brasil. Resoluções BCB nº 519, 520 e 521, de 10 de novembro de 2025, e alterações posteriores.</w:t>
      </w:r>
    </w:p>
    <w:p>
      <w:pPr>
        <w:pStyle w:val="Small"/>
      </w:pPr>
      <w:r>
        <w:t>Banco Central do Brasil. Resolução BCB nº 96, de 19 de maio de 2021, e alterações posteriores.</w:t>
      </w:r>
    </w:p>
    <w:p>
      <w:pPr>
        <w:pStyle w:val="Small"/>
      </w:pPr>
      <w:r>
        <w:t>Banco Central do Brasil. Resolução BCB nº 142, de 23 de setembro de 2021, e alterações posteriores.</w:t>
      </w:r>
    </w:p>
    <w:p>
      <w:pPr>
        <w:pStyle w:val="Small"/>
      </w:pPr>
      <w:r>
        <w:t>Presidência da República. Lei nº 9.613, de 3 de março de 1998, texto compilado.</w:t>
      </w:r>
    </w:p>
    <w:p>
      <w:pPr>
        <w:pStyle w:val="Small"/>
      </w:pPr>
      <w:r>
        <w:t>Presidência da República. Lei nº 14.478, de 21 de dezembro de 2022.</w:t>
      </w:r>
    </w:p>
    <w:p>
      <w:pPr>
        <w:pStyle w:val="Small"/>
      </w:pPr>
      <w:r>
        <w:t>Presidência da República. Lei nº 13.810, de 8 de março de 2019, e Decreto nº 9.825, de 5 de junho de 2019.</w:t>
      </w:r>
    </w:p>
    <w:p>
      <w:pPr>
        <w:pStyle w:val="Small"/>
      </w:pPr>
      <w:r>
        <w:t>Presidência da República. Lei nº 13.709, de 14 de agosto de 2018, LGPD, texto compilado.</w:t>
      </w:r>
    </w:p>
    <w:p>
      <w:pPr>
        <w:pStyle w:val="Small"/>
      </w:pPr>
      <w:r>
        <w:t>Receita Federal do Brasil. IN RFB nº 2.119/2022, com alterações posteriores, e serviço e-BEF para beneficiários finais.</w:t>
      </w:r>
    </w:p>
    <w:p>
      <w:pPr>
        <w:pStyle w:val="Small"/>
      </w:pPr>
      <w:r>
        <w:t>Pagar.me / Stone. Documentação oficial de Pix, recebedores, transferências e meios de pagamento, consultada em 17/08/2026.</w:t>
      </w:r>
    </w:p>
    <w:p>
      <w:pPr>
        <w:pStyle w:val="Small"/>
      </w:pPr>
      <w:r>
        <w:rPr>
          <w:b w:val="0"/>
        </w:rPr>
        <w:t>Data de consulta das fontes: 17/08/2026. Em caso de conflito entre esta política e norma vigente, prevalece a norma vigente e a área de Compliance deve providenciar atualização do documento.</w:t>
      </w:r>
    </w:p>
    <w:sectPr w:rsidR="00FC693F" w:rsidRPr="0006063C" w:rsidSect="00034616">
      <w:headerReference w:type="default" r:id="rId9"/>
      <w:footerReference w:type="default" r:id="rId10"/>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474"/>
        <w:sz w:val="14"/>
      </w:rPr>
      <w:t>Documento confidencial  |  Política Interna de Compliance, PLD/FTP, KYC/KYB e Monitoramento  |  Versão 1.1</w:t>
    </w:r>
    <w:r>
      <w:t xml:space="preserve">  |  Página </w:t>
    </w:r>
    <w:r>
      <w:rPr>
        <w:color w:val="5B6474"/>
        <w:sz w:val="14"/>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071A52"/>
        <w:sz w:val="15"/>
      </w:rPr>
      <w:t>NUVRA  |  COMPLIANCE &amp; RISK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071A52"/>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b/>
      <w:bCs/>
      <w:color w:val="0A2B7A"/>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w:hAnsi="Aptos"/>
      <w:b/>
      <w:bCs/>
      <w:color w:val="1C24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71A52"/>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Aptos" w:hAnsi="Aptos"/>
      <w:b w:val="0"/>
      <w:color w:val="5B6474"/>
      <w:sz w:val="16"/>
    </w:rPr>
  </w:style>
  <w:style w:type="paragraph" w:customStyle="1" w:styleId="Callout">
    <w:name w:val="Callout"/>
    <w:pPr>
      <w:spacing w:after="40"/>
    </w:pPr>
    <w:rPr>
      <w:rFonts w:ascii="Aptos" w:hAnsi="Aptos"/>
      <w:b w:val="0"/>
      <w:color w:val="1C2434"/>
      <w:sz w:val="18"/>
    </w:rPr>
  </w:style>
  <w:style w:type="paragraph" w:customStyle="1" w:styleId="TableText">
    <w:name w:val="TableText"/>
    <w:pPr>
      <w:spacing w:after="40"/>
    </w:pPr>
    <w:rPr>
      <w:rFonts w:ascii="Aptos" w:hAnsi="Aptos"/>
      <w:b w:val="0"/>
      <w:color w:val="1C2434"/>
      <w:sz w:val="16"/>
    </w:rPr>
  </w:style>
  <w:style w:type="paragraph" w:customStyle="1" w:styleId="TableHead">
    <w:name w:val="TableHead"/>
    <w:pPr>
      <w:spacing w:after="40"/>
    </w:pPr>
    <w:rPr>
      <w:rFonts w:ascii="Aptos" w:hAnsi="Aptos"/>
      <w:b/>
      <w:color w:val="FFFFFF"/>
      <w:sz w:val="16"/>
    </w:rPr>
  </w:style>
  <w:style w:type="paragraph" w:customStyle="1" w:styleId="CaptionMini">
    <w:name w:val="CaptionMini"/>
    <w:pPr>
      <w:spacing w:after="40"/>
    </w:pPr>
    <w:rPr>
      <w:rFonts w:ascii="Aptos" w:hAnsi="Aptos"/>
      <w:b w:val="0"/>
      <w:color w:val="5B6474"/>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NUVRA - Política Interna de Compliance, PLD/FTP, KYC/KYB e Monitoramento</dc:title>
  <dc:subject>Políticas internas de Compliance, KYC/KYB e mecanismos de controle e monitoramento</dc:subject>
  <dc:creator>NUVRA</dc:creator>
  <cp:keywords>Compliance, KYC, KYB, AML, PLD, FTP, Crypto, Payments, Monitoring</cp:keywords>
  <dc:description>generated by python-docx</dc:description>
  <cp:lastModifiedBy/>
  <cp:revision>1</cp:revision>
  <dcterms:created xsi:type="dcterms:W3CDTF">2013-12-23T23:15:00Z</dcterms:created>
  <dcterms:modified xsi:type="dcterms:W3CDTF">2013-12-23T23:15:00Z</dcterms:modified>
  <cp:category/>
</cp:coreProperties>
</file>